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jc w:val="center"/>
        <w:rPr>
          <w:rFonts w:ascii="黑体" w:hAnsi="Times New Roman" w:eastAsia="黑体"/>
          <w:sz w:val="36"/>
          <w:szCs w:val="36"/>
        </w:rPr>
      </w:pPr>
      <w:r>
        <w:rPr>
          <w:rFonts w:hint="eastAsia" w:ascii="黑体" w:hAnsi="Times New Roman" w:eastAsia="黑体"/>
          <w:sz w:val="36"/>
          <w:szCs w:val="36"/>
        </w:rPr>
        <w:t>经营者集中简易案件公示表</w:t>
      </w:r>
    </w:p>
    <w:tbl>
      <w:tblPr>
        <w:tblStyle w:val="9"/>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jc w:val="center"/>
              <w:rPr>
                <w:rFonts w:ascii="宋体" w:hAnsi="宋体"/>
                <w:sz w:val="24"/>
                <w:szCs w:val="24"/>
              </w:rPr>
            </w:pPr>
            <w:r>
              <w:rPr>
                <w:rFonts w:ascii="宋体" w:hAnsi="宋体"/>
                <w:sz w:val="24"/>
                <w:szCs w:val="24"/>
              </w:rPr>
              <w:t>案件名称</w:t>
            </w:r>
          </w:p>
        </w:tc>
        <w:tc>
          <w:tcPr>
            <w:tcW w:w="6949" w:type="dxa"/>
            <w:gridSpan w:val="2"/>
            <w:shd w:val="clear" w:color="auto" w:fill="auto"/>
          </w:tcPr>
          <w:p>
            <w:pPr>
              <w:widowControl/>
              <w:snapToGrid w:val="0"/>
              <w:rPr>
                <w:rFonts w:ascii="宋体" w:hAnsi="宋体"/>
                <w:sz w:val="24"/>
                <w:szCs w:val="24"/>
              </w:rPr>
            </w:pPr>
            <w:r>
              <w:rPr>
                <w:rFonts w:hint="eastAsia" w:ascii="宋体" w:hAnsi="宋体"/>
                <w:sz w:val="24"/>
                <w:szCs w:val="24"/>
              </w:rPr>
              <w:t>湖南有色产业投资集团有限责任公司收购郴州市金贵银业股份有限公司股权案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7" w:hRule="atLeast"/>
        </w:trPr>
        <w:tc>
          <w:tcPr>
            <w:tcW w:w="1809" w:type="dxa"/>
            <w:shd w:val="clear" w:color="auto" w:fill="D9D9D9"/>
            <w:vAlign w:val="center"/>
          </w:tcPr>
          <w:p>
            <w:pPr>
              <w:jc w:val="center"/>
              <w:rPr>
                <w:rFonts w:ascii="宋体" w:hAnsi="宋体"/>
                <w:sz w:val="24"/>
                <w:szCs w:val="24"/>
              </w:rPr>
            </w:pPr>
            <w:r>
              <w:rPr>
                <w:rFonts w:ascii="宋体" w:hAnsi="宋体"/>
                <w:sz w:val="24"/>
                <w:szCs w:val="24"/>
              </w:rPr>
              <w:t>交易概况（限200字内）</w:t>
            </w:r>
          </w:p>
        </w:tc>
        <w:tc>
          <w:tcPr>
            <w:tcW w:w="6949" w:type="dxa"/>
            <w:gridSpan w:val="2"/>
            <w:shd w:val="clear" w:color="auto" w:fill="auto"/>
          </w:tcPr>
          <w:p>
            <w:pPr>
              <w:widowControl/>
              <w:snapToGrid w:val="0"/>
              <w:rPr>
                <w:rFonts w:ascii="宋体" w:hAnsi="宋体"/>
                <w:sz w:val="24"/>
                <w:szCs w:val="24"/>
              </w:rPr>
            </w:pPr>
            <w:r>
              <w:rPr>
                <w:rFonts w:hint="eastAsia" w:ascii="宋体" w:hAnsi="宋体"/>
                <w:sz w:val="24"/>
                <w:szCs w:val="24"/>
              </w:rPr>
              <w:t>湖南有色产业投资集团有限责任公司（“有色集团”）及其控股子公司拟</w:t>
            </w:r>
            <w:r>
              <w:rPr>
                <w:rFonts w:hint="eastAsia" w:ascii="宋体" w:hAnsi="宋体"/>
                <w:sz w:val="24"/>
                <w:szCs w:val="24"/>
                <w:lang w:eastAsia="zh-CN"/>
              </w:rPr>
              <w:t>通过股权</w:t>
            </w:r>
            <w:r>
              <w:rPr>
                <w:rFonts w:hint="eastAsia" w:ascii="宋体" w:hAnsi="宋体"/>
                <w:sz w:val="24"/>
                <w:szCs w:val="24"/>
              </w:rPr>
              <w:t>置换</w:t>
            </w:r>
            <w:r>
              <w:rPr>
                <w:rFonts w:hint="eastAsia" w:ascii="宋体" w:hAnsi="宋体"/>
                <w:sz w:val="24"/>
                <w:szCs w:val="24"/>
                <w:lang w:eastAsia="zh-CN"/>
              </w:rPr>
              <w:t>的方式取得</w:t>
            </w:r>
            <w:bookmarkStart w:id="0" w:name="_GoBack"/>
            <w:bookmarkEnd w:id="0"/>
            <w:r>
              <w:rPr>
                <w:rFonts w:hint="eastAsia" w:ascii="宋体" w:hAnsi="宋体"/>
                <w:sz w:val="24"/>
                <w:szCs w:val="24"/>
              </w:rPr>
              <w:t>金贵银业股份有限公司（“金贵银业”）1</w:t>
            </w:r>
            <w:r>
              <w:rPr>
                <w:rFonts w:ascii="宋体" w:hAnsi="宋体"/>
                <w:sz w:val="24"/>
                <w:szCs w:val="24"/>
              </w:rPr>
              <w:t>7.87%</w:t>
            </w:r>
            <w:r>
              <w:rPr>
                <w:rFonts w:hint="eastAsia" w:ascii="宋体" w:hAnsi="宋体"/>
                <w:sz w:val="24"/>
                <w:szCs w:val="24"/>
              </w:rPr>
              <w:t>的新股，有色集团还将认购金贵银业3</w:t>
            </w:r>
            <w:r>
              <w:rPr>
                <w:rFonts w:ascii="宋体" w:hAnsi="宋体"/>
                <w:sz w:val="24"/>
                <w:szCs w:val="24"/>
              </w:rPr>
              <w:t>.83%</w:t>
            </w:r>
            <w:r>
              <w:rPr>
                <w:rFonts w:hint="eastAsia" w:ascii="宋体" w:hAnsi="宋体"/>
                <w:sz w:val="24"/>
                <w:szCs w:val="24"/>
              </w:rPr>
              <w:t>的定增股份。金贵银业主营白银等有色金属的冶炼销售。交易前，郴州市发展投资集团产业投资经营有限公司（“郴州产投”）及一致行动人合计持股2</w:t>
            </w:r>
            <w:r>
              <w:rPr>
                <w:rFonts w:ascii="宋体" w:hAnsi="宋体"/>
                <w:sz w:val="24"/>
                <w:szCs w:val="24"/>
              </w:rPr>
              <w:t>1.94%</w:t>
            </w:r>
            <w:r>
              <w:rPr>
                <w:rFonts w:hint="eastAsia" w:ascii="宋体" w:hAnsi="宋体"/>
                <w:sz w:val="24"/>
                <w:szCs w:val="24"/>
              </w:rPr>
              <w:t>，郴州产投实际控制金贵银业。交易后，有色集团直接间接持股21.7</w:t>
            </w:r>
            <w:r>
              <w:rPr>
                <w:rFonts w:ascii="宋体" w:hAnsi="宋体"/>
                <w:sz w:val="24"/>
                <w:szCs w:val="24"/>
              </w:rPr>
              <w:t>0</w:t>
            </w:r>
            <w:r>
              <w:rPr>
                <w:rFonts w:hint="eastAsia" w:ascii="宋体" w:hAnsi="宋体"/>
                <w:sz w:val="24"/>
                <w:szCs w:val="24"/>
              </w:rPr>
              <w:t>%，郴州产投及一致行动人持股降至</w:t>
            </w:r>
            <w:r>
              <w:rPr>
                <w:rFonts w:ascii="宋体" w:hAnsi="宋体"/>
                <w:sz w:val="24"/>
                <w:szCs w:val="24"/>
              </w:rPr>
              <w:t>17.18%</w:t>
            </w:r>
            <w:r>
              <w:rPr>
                <w:rFonts w:hint="eastAsia" w:ascii="宋体" w:hAnsi="宋体"/>
                <w:sz w:val="24"/>
                <w:szCs w:val="24"/>
              </w:rPr>
              <w:t>，有色集团及郴州产投共同控制金贵银业。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809" w:type="dxa"/>
            <w:vMerge w:val="restart"/>
            <w:shd w:val="clear" w:color="auto" w:fill="D9D9D9"/>
            <w:vAlign w:val="center"/>
          </w:tcPr>
          <w:p>
            <w:pPr>
              <w:jc w:val="center"/>
              <w:rPr>
                <w:rFonts w:ascii="宋体" w:hAnsi="宋体"/>
                <w:sz w:val="24"/>
                <w:szCs w:val="24"/>
              </w:rPr>
            </w:pPr>
            <w:r>
              <w:rPr>
                <w:rFonts w:ascii="宋体" w:hAnsi="宋体"/>
                <w:sz w:val="24"/>
                <w:szCs w:val="24"/>
              </w:rPr>
              <w:t>参与集中的经营者简介</w:t>
            </w:r>
          </w:p>
        </w:tc>
        <w:tc>
          <w:tcPr>
            <w:tcW w:w="1796" w:type="dxa"/>
            <w:shd w:val="clear" w:color="auto" w:fill="auto"/>
            <w:vAlign w:val="center"/>
          </w:tcPr>
          <w:p>
            <w:pPr>
              <w:jc w:val="left"/>
              <w:rPr>
                <w:rFonts w:ascii="宋体" w:hAnsi="宋体"/>
                <w:sz w:val="24"/>
                <w:szCs w:val="24"/>
              </w:rPr>
            </w:pPr>
            <w:r>
              <w:rPr>
                <w:rFonts w:hint="eastAsia" w:ascii="宋体" w:hAnsi="宋体"/>
                <w:sz w:val="24"/>
                <w:szCs w:val="24"/>
              </w:rPr>
              <w:t>1.有色集团</w:t>
            </w:r>
          </w:p>
        </w:tc>
        <w:tc>
          <w:tcPr>
            <w:tcW w:w="5153" w:type="dxa"/>
            <w:shd w:val="clear" w:color="auto" w:fill="auto"/>
          </w:tcPr>
          <w:p>
            <w:pPr>
              <w:widowControl/>
              <w:snapToGrid w:val="0"/>
              <w:rPr>
                <w:rFonts w:ascii="宋体" w:hAnsi="宋体"/>
                <w:sz w:val="24"/>
                <w:szCs w:val="24"/>
              </w:rPr>
            </w:pPr>
            <w:r>
              <w:rPr>
                <w:rFonts w:hint="eastAsia" w:ascii="宋体" w:hAnsi="宋体"/>
                <w:sz w:val="24"/>
                <w:szCs w:val="24"/>
              </w:rPr>
              <w:t>有色集团于2022年7月8日在湖南长沙成立，主营黄金和金属锑的加工冶炼和销售。</w:t>
            </w:r>
          </w:p>
          <w:p>
            <w:pPr>
              <w:widowControl/>
              <w:snapToGrid w:val="0"/>
              <w:rPr>
                <w:rFonts w:ascii="宋体" w:hAnsi="宋体"/>
                <w:sz w:val="24"/>
                <w:szCs w:val="24"/>
              </w:rPr>
            </w:pPr>
            <w:r>
              <w:rPr>
                <w:rFonts w:hint="eastAsia" w:ascii="宋体" w:hAnsi="宋体"/>
                <w:sz w:val="24"/>
                <w:szCs w:val="24"/>
              </w:rPr>
              <w:t>有色集团是湖南省国资委下属企业。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809" w:type="dxa"/>
            <w:vMerge w:val="continue"/>
            <w:shd w:val="clear" w:color="auto" w:fill="D9D9D9"/>
            <w:vAlign w:val="center"/>
          </w:tcPr>
          <w:p>
            <w:pPr>
              <w:jc w:val="center"/>
              <w:rPr>
                <w:rFonts w:ascii="宋体" w:hAnsi="宋体"/>
                <w:sz w:val="24"/>
                <w:szCs w:val="24"/>
              </w:rPr>
            </w:pPr>
          </w:p>
        </w:tc>
        <w:tc>
          <w:tcPr>
            <w:tcW w:w="1796" w:type="dxa"/>
            <w:shd w:val="clear" w:color="auto" w:fill="auto"/>
            <w:vAlign w:val="center"/>
          </w:tcPr>
          <w:p>
            <w:pPr>
              <w:jc w:val="left"/>
              <w:rPr>
                <w:rFonts w:ascii="宋体" w:hAnsi="宋体"/>
                <w:sz w:val="24"/>
                <w:szCs w:val="24"/>
              </w:rPr>
            </w:pPr>
            <w:r>
              <w:rPr>
                <w:rFonts w:hint="eastAsia" w:ascii="宋体" w:hAnsi="宋体"/>
                <w:sz w:val="24"/>
                <w:szCs w:val="24"/>
              </w:rPr>
              <w:t>2.郴州产投</w:t>
            </w:r>
          </w:p>
        </w:tc>
        <w:tc>
          <w:tcPr>
            <w:tcW w:w="5153" w:type="dxa"/>
            <w:shd w:val="clear" w:color="auto" w:fill="auto"/>
            <w:vAlign w:val="center"/>
          </w:tcPr>
          <w:p>
            <w:pPr>
              <w:widowControl/>
              <w:snapToGrid w:val="0"/>
              <w:rPr>
                <w:rFonts w:ascii="宋体" w:hAnsi="宋体"/>
                <w:sz w:val="24"/>
                <w:szCs w:val="24"/>
              </w:rPr>
            </w:pPr>
            <w:r>
              <w:rPr>
                <w:rFonts w:hint="eastAsia" w:ascii="宋体" w:hAnsi="宋体"/>
                <w:sz w:val="24"/>
                <w:szCs w:val="24"/>
              </w:rPr>
              <w:t>郴州产投于2017年9月8日在湖南郴州成立，为持股平台，通过其子公司金贵银业主营白银、铅和黄金的加工冶炼和销售。</w:t>
            </w:r>
          </w:p>
          <w:p>
            <w:pPr>
              <w:widowControl/>
              <w:snapToGrid w:val="0"/>
              <w:rPr>
                <w:rFonts w:ascii="宋体" w:hAnsi="宋体"/>
                <w:sz w:val="24"/>
                <w:szCs w:val="24"/>
              </w:rPr>
            </w:pPr>
            <w:r>
              <w:rPr>
                <w:rFonts w:hint="eastAsia" w:ascii="宋体" w:hAnsi="宋体"/>
                <w:sz w:val="24"/>
                <w:szCs w:val="24"/>
              </w:rPr>
              <w:t>郴州产投最终控制人为郴州市发展投资集团有限公司，主营基础设施建设、材料销售等业务。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jc w:val="center"/>
              <w:rPr>
                <w:rFonts w:ascii="宋体" w:hAnsi="宋体"/>
                <w:sz w:val="24"/>
                <w:szCs w:val="24"/>
              </w:rPr>
            </w:pPr>
            <w:r>
              <w:rPr>
                <w:rFonts w:ascii="宋体" w:hAnsi="宋体"/>
                <w:sz w:val="24"/>
                <w:szCs w:val="24"/>
              </w:rPr>
              <w:t>简易案件理由（可以单选，也可以多选）</w:t>
            </w:r>
          </w:p>
        </w:tc>
        <w:tc>
          <w:tcPr>
            <w:tcW w:w="6949" w:type="dxa"/>
            <w:gridSpan w:val="2"/>
            <w:shd w:val="clear" w:color="auto" w:fill="auto"/>
          </w:tcPr>
          <w:p>
            <w:pPr>
              <w:rPr>
                <w:rFonts w:ascii="宋体" w:hAnsi="宋体"/>
                <w:sz w:val="24"/>
                <w:szCs w:val="24"/>
              </w:rPr>
            </w:pPr>
            <w:r>
              <w:rPr>
                <w:rFonts w:hint="eastAsia" w:ascii="宋体" w:hAnsi="宋体"/>
                <w:sz w:val="24"/>
                <w:szCs w:val="24"/>
              </w:rPr>
              <w:t>☑</w:t>
            </w:r>
            <w:r>
              <w:rPr>
                <w:rFonts w:ascii="宋体" w:hAnsi="宋体"/>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rPr>
                <w:rFonts w:ascii="宋体" w:hAnsi="宋体"/>
                <w:sz w:val="24"/>
                <w:szCs w:val="24"/>
              </w:rPr>
            </w:pPr>
          </w:p>
        </w:tc>
        <w:tc>
          <w:tcPr>
            <w:tcW w:w="6949" w:type="dxa"/>
            <w:gridSpan w:val="2"/>
            <w:shd w:val="clear" w:color="auto" w:fill="auto"/>
          </w:tcPr>
          <w:p>
            <w:pPr>
              <w:rPr>
                <w:rFonts w:ascii="宋体" w:hAnsi="宋体"/>
                <w:sz w:val="24"/>
                <w:szCs w:val="24"/>
              </w:rPr>
            </w:pPr>
            <w:r>
              <w:rPr>
                <w:rFonts w:ascii="宋体" w:hAnsi="宋体"/>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rPr>
                <w:rFonts w:ascii="宋体" w:hAnsi="宋体"/>
                <w:sz w:val="24"/>
                <w:szCs w:val="24"/>
              </w:rPr>
            </w:pPr>
          </w:p>
        </w:tc>
        <w:tc>
          <w:tcPr>
            <w:tcW w:w="6949" w:type="dxa"/>
            <w:gridSpan w:val="2"/>
            <w:shd w:val="clear" w:color="auto" w:fill="auto"/>
          </w:tcPr>
          <w:p>
            <w:pPr>
              <w:rPr>
                <w:rFonts w:ascii="宋体" w:hAnsi="宋体"/>
                <w:sz w:val="24"/>
                <w:szCs w:val="24"/>
              </w:rPr>
            </w:pPr>
            <w:r>
              <w:rPr>
                <w:rFonts w:ascii="宋体" w:hAnsi="宋体"/>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809" w:type="dxa"/>
            <w:vMerge w:val="continue"/>
            <w:shd w:val="clear" w:color="auto" w:fill="D9D9D9"/>
          </w:tcPr>
          <w:p>
            <w:pPr>
              <w:rPr>
                <w:rFonts w:ascii="宋体" w:hAnsi="宋体"/>
                <w:sz w:val="24"/>
                <w:szCs w:val="24"/>
              </w:rPr>
            </w:pPr>
          </w:p>
        </w:tc>
        <w:tc>
          <w:tcPr>
            <w:tcW w:w="6949" w:type="dxa"/>
            <w:gridSpan w:val="2"/>
            <w:shd w:val="clear" w:color="auto" w:fill="auto"/>
          </w:tcPr>
          <w:p>
            <w:pPr>
              <w:rPr>
                <w:rFonts w:ascii="宋体" w:hAnsi="宋体"/>
                <w:sz w:val="24"/>
                <w:szCs w:val="24"/>
              </w:rPr>
            </w:pPr>
            <w:r>
              <w:rPr>
                <w:rFonts w:ascii="宋体" w:hAnsi="宋体"/>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rPr>
                <w:rFonts w:ascii="宋体" w:hAnsi="宋体"/>
                <w:sz w:val="24"/>
                <w:szCs w:val="24"/>
              </w:rPr>
            </w:pPr>
          </w:p>
        </w:tc>
        <w:tc>
          <w:tcPr>
            <w:tcW w:w="6949" w:type="dxa"/>
            <w:gridSpan w:val="2"/>
            <w:shd w:val="clear" w:color="auto" w:fill="auto"/>
          </w:tcPr>
          <w:p>
            <w:pPr>
              <w:rPr>
                <w:rFonts w:ascii="宋体" w:hAnsi="宋体"/>
                <w:sz w:val="24"/>
                <w:szCs w:val="24"/>
              </w:rPr>
            </w:pPr>
            <w:r>
              <w:rPr>
                <w:rFonts w:ascii="宋体" w:hAnsi="宋体"/>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rPr>
                <w:rFonts w:ascii="宋体" w:hAnsi="宋体"/>
                <w:sz w:val="24"/>
                <w:szCs w:val="24"/>
              </w:rPr>
            </w:pPr>
          </w:p>
        </w:tc>
        <w:tc>
          <w:tcPr>
            <w:tcW w:w="6949" w:type="dxa"/>
            <w:gridSpan w:val="2"/>
            <w:shd w:val="clear" w:color="auto" w:fill="auto"/>
          </w:tcPr>
          <w:p>
            <w:pPr>
              <w:rPr>
                <w:rFonts w:ascii="宋体" w:hAnsi="宋体"/>
                <w:sz w:val="24"/>
                <w:szCs w:val="24"/>
              </w:rPr>
            </w:pPr>
            <w:r>
              <w:rPr>
                <w:rFonts w:ascii="宋体" w:hAnsi="宋体"/>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1809" w:type="dxa"/>
            <w:shd w:val="clear" w:color="auto" w:fill="D9D9D9"/>
          </w:tcPr>
          <w:p>
            <w:pPr>
              <w:rPr>
                <w:rFonts w:ascii="宋体" w:hAnsi="宋体"/>
                <w:sz w:val="24"/>
                <w:szCs w:val="24"/>
              </w:rPr>
            </w:pPr>
            <w:r>
              <w:rPr>
                <w:rFonts w:ascii="宋体" w:hAnsi="宋体"/>
                <w:sz w:val="24"/>
                <w:szCs w:val="24"/>
              </w:rPr>
              <w:t>备注</w:t>
            </w:r>
          </w:p>
        </w:tc>
        <w:tc>
          <w:tcPr>
            <w:tcW w:w="6949" w:type="dxa"/>
            <w:gridSpan w:val="2"/>
            <w:shd w:val="clear" w:color="auto" w:fill="auto"/>
          </w:tcPr>
          <w:p>
            <w:pPr>
              <w:rPr>
                <w:rFonts w:ascii="宋体" w:hAnsi="宋体"/>
                <w:b/>
                <w:bCs/>
                <w:sz w:val="24"/>
                <w:szCs w:val="24"/>
              </w:rPr>
            </w:pPr>
            <w:r>
              <w:rPr>
                <w:rFonts w:hint="eastAsia" w:ascii="宋体" w:hAnsi="宋体"/>
                <w:b/>
                <w:bCs/>
                <w:sz w:val="24"/>
                <w:szCs w:val="24"/>
              </w:rPr>
              <w:t>横向重叠</w:t>
            </w:r>
          </w:p>
          <w:p>
            <w:pPr>
              <w:rPr>
                <w:rFonts w:ascii="宋体" w:hAnsi="宋体"/>
                <w:sz w:val="24"/>
                <w:szCs w:val="24"/>
              </w:rPr>
            </w:pPr>
            <w:r>
              <w:rPr>
                <w:rFonts w:hint="eastAsia" w:ascii="宋体" w:hAnsi="宋体"/>
                <w:sz w:val="24"/>
                <w:szCs w:val="24"/>
              </w:rPr>
              <w:t>2022年度中国境内黄金市场：</w:t>
            </w:r>
          </w:p>
          <w:p>
            <w:pPr>
              <w:rPr>
                <w:rFonts w:ascii="宋体" w:hAnsi="宋体"/>
                <w:sz w:val="24"/>
                <w:szCs w:val="24"/>
              </w:rPr>
            </w:pPr>
            <w:r>
              <w:rPr>
                <w:rFonts w:hint="eastAsia" w:ascii="宋体" w:hAnsi="宋体"/>
                <w:sz w:val="24"/>
                <w:szCs w:val="24"/>
              </w:rPr>
              <w:t>有色集团:</w:t>
            </w:r>
            <w:r>
              <w:rPr>
                <w:rFonts w:ascii="宋体" w:hAnsi="宋体"/>
                <w:sz w:val="24"/>
                <w:szCs w:val="24"/>
              </w:rPr>
              <w:t>0-5%</w:t>
            </w:r>
            <w:r>
              <w:rPr>
                <w:rFonts w:hint="eastAsia" w:ascii="宋体" w:hAnsi="宋体"/>
                <w:sz w:val="24"/>
                <w:szCs w:val="24"/>
              </w:rPr>
              <w:t>，郴州产投:</w:t>
            </w:r>
            <w:r>
              <w:rPr>
                <w:rFonts w:ascii="宋体" w:hAnsi="宋体"/>
                <w:sz w:val="24"/>
                <w:szCs w:val="24"/>
              </w:rPr>
              <w:t xml:space="preserve"> 0-5%</w:t>
            </w:r>
            <w:r>
              <w:rPr>
                <w:rFonts w:hint="eastAsia" w:ascii="宋体" w:hAnsi="宋体"/>
                <w:sz w:val="24"/>
                <w:szCs w:val="24"/>
              </w:rPr>
              <w:t>，各方合计：0-5%。</w:t>
            </w:r>
          </w:p>
        </w:tc>
      </w:tr>
    </w:tbl>
    <w:p>
      <w:pPr>
        <w:rPr>
          <w:rFonts w:ascii="楷体_GB2312" w:hAnsi="Times New Roman" w:eastAsia="楷体_GB2312"/>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PMingLiU">
    <w:altName w:val="Noto Sans CJK SC"/>
    <w:panose1 w:val="02010601000101010101"/>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UzYjNlYmMyNGZjMzlhMGQ5YWUxMGUwYTRhNGY4ODQifQ=="/>
  </w:docVars>
  <w:rsids>
    <w:rsidRoot w:val="00094095"/>
    <w:rsid w:val="00007D4C"/>
    <w:rsid w:val="00011043"/>
    <w:rsid w:val="0001750B"/>
    <w:rsid w:val="000216E6"/>
    <w:rsid w:val="00024E42"/>
    <w:rsid w:val="00027835"/>
    <w:rsid w:val="00037588"/>
    <w:rsid w:val="000551BC"/>
    <w:rsid w:val="0005594E"/>
    <w:rsid w:val="00061352"/>
    <w:rsid w:val="00067565"/>
    <w:rsid w:val="0007152A"/>
    <w:rsid w:val="000715BA"/>
    <w:rsid w:val="000735EB"/>
    <w:rsid w:val="00082C02"/>
    <w:rsid w:val="00090A0D"/>
    <w:rsid w:val="0009158B"/>
    <w:rsid w:val="00094095"/>
    <w:rsid w:val="000A23E3"/>
    <w:rsid w:val="000A3CA7"/>
    <w:rsid w:val="000A77A5"/>
    <w:rsid w:val="000B6A96"/>
    <w:rsid w:val="000D6356"/>
    <w:rsid w:val="000D7090"/>
    <w:rsid w:val="000E342A"/>
    <w:rsid w:val="000E4791"/>
    <w:rsid w:val="000E6116"/>
    <w:rsid w:val="000E7FC9"/>
    <w:rsid w:val="000F306A"/>
    <w:rsid w:val="000F3F86"/>
    <w:rsid w:val="000F4942"/>
    <w:rsid w:val="000F6544"/>
    <w:rsid w:val="00100B60"/>
    <w:rsid w:val="00101176"/>
    <w:rsid w:val="00113543"/>
    <w:rsid w:val="00117B9E"/>
    <w:rsid w:val="00124597"/>
    <w:rsid w:val="00126A8C"/>
    <w:rsid w:val="001320E7"/>
    <w:rsid w:val="00173BC8"/>
    <w:rsid w:val="00191C23"/>
    <w:rsid w:val="0019247E"/>
    <w:rsid w:val="001A0880"/>
    <w:rsid w:val="001A37FC"/>
    <w:rsid w:val="001A6258"/>
    <w:rsid w:val="001B5F65"/>
    <w:rsid w:val="001C1B23"/>
    <w:rsid w:val="001C3AD5"/>
    <w:rsid w:val="0020313A"/>
    <w:rsid w:val="00210BC9"/>
    <w:rsid w:val="002128F6"/>
    <w:rsid w:val="002158DC"/>
    <w:rsid w:val="002213B3"/>
    <w:rsid w:val="002269DB"/>
    <w:rsid w:val="00233F8C"/>
    <w:rsid w:val="0024218A"/>
    <w:rsid w:val="0024508A"/>
    <w:rsid w:val="00245776"/>
    <w:rsid w:val="0025240B"/>
    <w:rsid w:val="00254982"/>
    <w:rsid w:val="002608F8"/>
    <w:rsid w:val="00262658"/>
    <w:rsid w:val="0027100D"/>
    <w:rsid w:val="00284BCD"/>
    <w:rsid w:val="00297506"/>
    <w:rsid w:val="002A2B43"/>
    <w:rsid w:val="002B397C"/>
    <w:rsid w:val="002C338F"/>
    <w:rsid w:val="002D54A4"/>
    <w:rsid w:val="002E0740"/>
    <w:rsid w:val="002E1C1C"/>
    <w:rsid w:val="002E259C"/>
    <w:rsid w:val="002E2C9F"/>
    <w:rsid w:val="002E720A"/>
    <w:rsid w:val="002F2D60"/>
    <w:rsid w:val="002F3A72"/>
    <w:rsid w:val="002F3C77"/>
    <w:rsid w:val="002F724B"/>
    <w:rsid w:val="00300BB7"/>
    <w:rsid w:val="00305305"/>
    <w:rsid w:val="00306FB0"/>
    <w:rsid w:val="00307976"/>
    <w:rsid w:val="0031093F"/>
    <w:rsid w:val="00311210"/>
    <w:rsid w:val="003145BC"/>
    <w:rsid w:val="003170BD"/>
    <w:rsid w:val="00320D56"/>
    <w:rsid w:val="00324AD4"/>
    <w:rsid w:val="003340EB"/>
    <w:rsid w:val="00340ACD"/>
    <w:rsid w:val="00350D45"/>
    <w:rsid w:val="00355D31"/>
    <w:rsid w:val="0037036A"/>
    <w:rsid w:val="00371BC9"/>
    <w:rsid w:val="00374F5B"/>
    <w:rsid w:val="00384238"/>
    <w:rsid w:val="0038495A"/>
    <w:rsid w:val="00394C36"/>
    <w:rsid w:val="00395B3B"/>
    <w:rsid w:val="003A16B4"/>
    <w:rsid w:val="003B0215"/>
    <w:rsid w:val="003B6581"/>
    <w:rsid w:val="003B78F4"/>
    <w:rsid w:val="003C0156"/>
    <w:rsid w:val="003E6972"/>
    <w:rsid w:val="003F170C"/>
    <w:rsid w:val="004030E1"/>
    <w:rsid w:val="0040319E"/>
    <w:rsid w:val="0042013C"/>
    <w:rsid w:val="00420292"/>
    <w:rsid w:val="004261DB"/>
    <w:rsid w:val="004316EF"/>
    <w:rsid w:val="00436AF4"/>
    <w:rsid w:val="0044015B"/>
    <w:rsid w:val="00443A41"/>
    <w:rsid w:val="00445F6B"/>
    <w:rsid w:val="00452418"/>
    <w:rsid w:val="00453F8E"/>
    <w:rsid w:val="00462174"/>
    <w:rsid w:val="00463B99"/>
    <w:rsid w:val="0047028A"/>
    <w:rsid w:val="0047221D"/>
    <w:rsid w:val="00477DDE"/>
    <w:rsid w:val="004A0F0A"/>
    <w:rsid w:val="004B7BC9"/>
    <w:rsid w:val="004D5E38"/>
    <w:rsid w:val="004E1994"/>
    <w:rsid w:val="004E1A83"/>
    <w:rsid w:val="004E27C5"/>
    <w:rsid w:val="004E39F4"/>
    <w:rsid w:val="004E5BA2"/>
    <w:rsid w:val="004F53A7"/>
    <w:rsid w:val="005058FD"/>
    <w:rsid w:val="00515347"/>
    <w:rsid w:val="00522274"/>
    <w:rsid w:val="00537C98"/>
    <w:rsid w:val="005440BF"/>
    <w:rsid w:val="0055004D"/>
    <w:rsid w:val="005551FD"/>
    <w:rsid w:val="00557FA3"/>
    <w:rsid w:val="00566CC7"/>
    <w:rsid w:val="005674E8"/>
    <w:rsid w:val="00584292"/>
    <w:rsid w:val="00585F58"/>
    <w:rsid w:val="005A3B5D"/>
    <w:rsid w:val="005A6DA4"/>
    <w:rsid w:val="005B44EF"/>
    <w:rsid w:val="005B533D"/>
    <w:rsid w:val="005B5DB2"/>
    <w:rsid w:val="005C0FBD"/>
    <w:rsid w:val="005C3D32"/>
    <w:rsid w:val="005D1B7F"/>
    <w:rsid w:val="005E06C0"/>
    <w:rsid w:val="005F167B"/>
    <w:rsid w:val="0062185F"/>
    <w:rsid w:val="00625638"/>
    <w:rsid w:val="006300C0"/>
    <w:rsid w:val="0063752E"/>
    <w:rsid w:val="00647DC7"/>
    <w:rsid w:val="0065427D"/>
    <w:rsid w:val="00661E31"/>
    <w:rsid w:val="00667420"/>
    <w:rsid w:val="00675286"/>
    <w:rsid w:val="00683FCD"/>
    <w:rsid w:val="006857F1"/>
    <w:rsid w:val="00687CD7"/>
    <w:rsid w:val="00692DA5"/>
    <w:rsid w:val="006A4F76"/>
    <w:rsid w:val="006A5728"/>
    <w:rsid w:val="006A67CA"/>
    <w:rsid w:val="006B49BF"/>
    <w:rsid w:val="006C4B90"/>
    <w:rsid w:val="006C50C6"/>
    <w:rsid w:val="006C6F40"/>
    <w:rsid w:val="006D2FC3"/>
    <w:rsid w:val="006D5A0F"/>
    <w:rsid w:val="006E0731"/>
    <w:rsid w:val="006E24F7"/>
    <w:rsid w:val="006E2EB2"/>
    <w:rsid w:val="006F55A3"/>
    <w:rsid w:val="006F6272"/>
    <w:rsid w:val="006F6383"/>
    <w:rsid w:val="00720227"/>
    <w:rsid w:val="00723A82"/>
    <w:rsid w:val="00736746"/>
    <w:rsid w:val="007403B4"/>
    <w:rsid w:val="007411D0"/>
    <w:rsid w:val="00745DBE"/>
    <w:rsid w:val="0074694B"/>
    <w:rsid w:val="00751D95"/>
    <w:rsid w:val="00775B85"/>
    <w:rsid w:val="00784B00"/>
    <w:rsid w:val="00787DD4"/>
    <w:rsid w:val="0079200F"/>
    <w:rsid w:val="007A19CD"/>
    <w:rsid w:val="007A321A"/>
    <w:rsid w:val="007C000E"/>
    <w:rsid w:val="007C654E"/>
    <w:rsid w:val="007C7803"/>
    <w:rsid w:val="007D0A58"/>
    <w:rsid w:val="007E1B1F"/>
    <w:rsid w:val="007F0687"/>
    <w:rsid w:val="007F5F08"/>
    <w:rsid w:val="008010AD"/>
    <w:rsid w:val="0080354C"/>
    <w:rsid w:val="0080386C"/>
    <w:rsid w:val="0080558F"/>
    <w:rsid w:val="00817EF1"/>
    <w:rsid w:val="00822970"/>
    <w:rsid w:val="00824915"/>
    <w:rsid w:val="00826D8B"/>
    <w:rsid w:val="0084303C"/>
    <w:rsid w:val="0085010B"/>
    <w:rsid w:val="00860BF2"/>
    <w:rsid w:val="008672BB"/>
    <w:rsid w:val="008678C3"/>
    <w:rsid w:val="0088126D"/>
    <w:rsid w:val="00884A14"/>
    <w:rsid w:val="00885D99"/>
    <w:rsid w:val="008862A8"/>
    <w:rsid w:val="008926BD"/>
    <w:rsid w:val="0089745C"/>
    <w:rsid w:val="008A7ED7"/>
    <w:rsid w:val="008B0557"/>
    <w:rsid w:val="008B22FB"/>
    <w:rsid w:val="008C5BF0"/>
    <w:rsid w:val="008C7D59"/>
    <w:rsid w:val="008D267B"/>
    <w:rsid w:val="008F299A"/>
    <w:rsid w:val="008F3BDD"/>
    <w:rsid w:val="008F634B"/>
    <w:rsid w:val="0091768B"/>
    <w:rsid w:val="0093097F"/>
    <w:rsid w:val="00932119"/>
    <w:rsid w:val="00952499"/>
    <w:rsid w:val="0095347A"/>
    <w:rsid w:val="009540AF"/>
    <w:rsid w:val="009733B4"/>
    <w:rsid w:val="00974D61"/>
    <w:rsid w:val="009948B0"/>
    <w:rsid w:val="009A5AA7"/>
    <w:rsid w:val="009A7BF2"/>
    <w:rsid w:val="009B45A7"/>
    <w:rsid w:val="009B576E"/>
    <w:rsid w:val="009B6392"/>
    <w:rsid w:val="009C42BB"/>
    <w:rsid w:val="009C5ACB"/>
    <w:rsid w:val="009D6005"/>
    <w:rsid w:val="009E5752"/>
    <w:rsid w:val="009F1338"/>
    <w:rsid w:val="009F41BC"/>
    <w:rsid w:val="009F5448"/>
    <w:rsid w:val="009F7262"/>
    <w:rsid w:val="009F7FE9"/>
    <w:rsid w:val="00A04726"/>
    <w:rsid w:val="00A11CE2"/>
    <w:rsid w:val="00A2370A"/>
    <w:rsid w:val="00A26A40"/>
    <w:rsid w:val="00A33785"/>
    <w:rsid w:val="00A359DF"/>
    <w:rsid w:val="00A40598"/>
    <w:rsid w:val="00A43A3E"/>
    <w:rsid w:val="00A508FB"/>
    <w:rsid w:val="00A56DD6"/>
    <w:rsid w:val="00A62F9C"/>
    <w:rsid w:val="00A67610"/>
    <w:rsid w:val="00A76E06"/>
    <w:rsid w:val="00A77BD3"/>
    <w:rsid w:val="00A8032F"/>
    <w:rsid w:val="00A9376A"/>
    <w:rsid w:val="00AA431D"/>
    <w:rsid w:val="00AA4A5C"/>
    <w:rsid w:val="00AB40CB"/>
    <w:rsid w:val="00AB4773"/>
    <w:rsid w:val="00AD21B5"/>
    <w:rsid w:val="00AE4C10"/>
    <w:rsid w:val="00AE7A3B"/>
    <w:rsid w:val="00AF347D"/>
    <w:rsid w:val="00AF622C"/>
    <w:rsid w:val="00AF6AE1"/>
    <w:rsid w:val="00B01090"/>
    <w:rsid w:val="00B050A9"/>
    <w:rsid w:val="00B10A5E"/>
    <w:rsid w:val="00B12A4B"/>
    <w:rsid w:val="00B13FF6"/>
    <w:rsid w:val="00B16151"/>
    <w:rsid w:val="00B26E31"/>
    <w:rsid w:val="00B329DD"/>
    <w:rsid w:val="00B357DC"/>
    <w:rsid w:val="00B37A1D"/>
    <w:rsid w:val="00B40E62"/>
    <w:rsid w:val="00B41B52"/>
    <w:rsid w:val="00B539FC"/>
    <w:rsid w:val="00B54C38"/>
    <w:rsid w:val="00B64678"/>
    <w:rsid w:val="00B6614B"/>
    <w:rsid w:val="00B7032D"/>
    <w:rsid w:val="00B708EC"/>
    <w:rsid w:val="00B87F0D"/>
    <w:rsid w:val="00B92D27"/>
    <w:rsid w:val="00B93094"/>
    <w:rsid w:val="00B97BB6"/>
    <w:rsid w:val="00BA0750"/>
    <w:rsid w:val="00BA0954"/>
    <w:rsid w:val="00BA7437"/>
    <w:rsid w:val="00BB2377"/>
    <w:rsid w:val="00BB3798"/>
    <w:rsid w:val="00BD20A5"/>
    <w:rsid w:val="00BD2F28"/>
    <w:rsid w:val="00BD3D34"/>
    <w:rsid w:val="00BD6EBE"/>
    <w:rsid w:val="00BE11DE"/>
    <w:rsid w:val="00BE21A7"/>
    <w:rsid w:val="00BE6705"/>
    <w:rsid w:val="00BF0D84"/>
    <w:rsid w:val="00C06047"/>
    <w:rsid w:val="00C20F36"/>
    <w:rsid w:val="00C23832"/>
    <w:rsid w:val="00C318CE"/>
    <w:rsid w:val="00C32475"/>
    <w:rsid w:val="00C35929"/>
    <w:rsid w:val="00C52346"/>
    <w:rsid w:val="00C62172"/>
    <w:rsid w:val="00C716B2"/>
    <w:rsid w:val="00C76979"/>
    <w:rsid w:val="00C8184D"/>
    <w:rsid w:val="00C9068E"/>
    <w:rsid w:val="00C93652"/>
    <w:rsid w:val="00C94351"/>
    <w:rsid w:val="00C96583"/>
    <w:rsid w:val="00C977FC"/>
    <w:rsid w:val="00CB3029"/>
    <w:rsid w:val="00CB754F"/>
    <w:rsid w:val="00CD4254"/>
    <w:rsid w:val="00CE2A82"/>
    <w:rsid w:val="00CE4D36"/>
    <w:rsid w:val="00CF5443"/>
    <w:rsid w:val="00CF6946"/>
    <w:rsid w:val="00D001A9"/>
    <w:rsid w:val="00D15F88"/>
    <w:rsid w:val="00D21777"/>
    <w:rsid w:val="00D25335"/>
    <w:rsid w:val="00D34121"/>
    <w:rsid w:val="00D451A4"/>
    <w:rsid w:val="00D45C93"/>
    <w:rsid w:val="00D515E7"/>
    <w:rsid w:val="00D57CDF"/>
    <w:rsid w:val="00D658E4"/>
    <w:rsid w:val="00D671C7"/>
    <w:rsid w:val="00D85DD4"/>
    <w:rsid w:val="00D86949"/>
    <w:rsid w:val="00D9680B"/>
    <w:rsid w:val="00DA2017"/>
    <w:rsid w:val="00DA2830"/>
    <w:rsid w:val="00DA7F59"/>
    <w:rsid w:val="00DB0BDD"/>
    <w:rsid w:val="00DB6E88"/>
    <w:rsid w:val="00DC70AB"/>
    <w:rsid w:val="00DD4C6E"/>
    <w:rsid w:val="00DE453F"/>
    <w:rsid w:val="00DF4BCE"/>
    <w:rsid w:val="00DF76C1"/>
    <w:rsid w:val="00DF78D8"/>
    <w:rsid w:val="00E02DF1"/>
    <w:rsid w:val="00E046C5"/>
    <w:rsid w:val="00E11C0D"/>
    <w:rsid w:val="00E321A6"/>
    <w:rsid w:val="00E32A0C"/>
    <w:rsid w:val="00E7230B"/>
    <w:rsid w:val="00E912C3"/>
    <w:rsid w:val="00EA3F60"/>
    <w:rsid w:val="00EA629A"/>
    <w:rsid w:val="00EA6C92"/>
    <w:rsid w:val="00EA738D"/>
    <w:rsid w:val="00EB0EE6"/>
    <w:rsid w:val="00EB1098"/>
    <w:rsid w:val="00ED21B1"/>
    <w:rsid w:val="00ED3AED"/>
    <w:rsid w:val="00ED53CA"/>
    <w:rsid w:val="00ED5D85"/>
    <w:rsid w:val="00ED6617"/>
    <w:rsid w:val="00EE2784"/>
    <w:rsid w:val="00EE4AF0"/>
    <w:rsid w:val="00EE5DF0"/>
    <w:rsid w:val="00EF2222"/>
    <w:rsid w:val="00F11E69"/>
    <w:rsid w:val="00F14C9D"/>
    <w:rsid w:val="00F16269"/>
    <w:rsid w:val="00F37345"/>
    <w:rsid w:val="00F42BAC"/>
    <w:rsid w:val="00F5086B"/>
    <w:rsid w:val="00F57936"/>
    <w:rsid w:val="00F720B6"/>
    <w:rsid w:val="00F87C1F"/>
    <w:rsid w:val="00F917BF"/>
    <w:rsid w:val="00F950FC"/>
    <w:rsid w:val="00FB05C5"/>
    <w:rsid w:val="00FD69F4"/>
    <w:rsid w:val="00FE030D"/>
    <w:rsid w:val="00FE0884"/>
    <w:rsid w:val="00FE1D22"/>
    <w:rsid w:val="00FE3C66"/>
    <w:rsid w:val="00FE4CAC"/>
    <w:rsid w:val="00FF2D6D"/>
    <w:rsid w:val="00FF5EDC"/>
    <w:rsid w:val="07091804"/>
    <w:rsid w:val="238875DE"/>
    <w:rsid w:val="2CF55A3F"/>
    <w:rsid w:val="2E0F2B31"/>
    <w:rsid w:val="408E3D89"/>
    <w:rsid w:val="4C123AC0"/>
    <w:rsid w:val="68AA41B6"/>
    <w:rsid w:val="B7BF292B"/>
    <w:rsid w:val="EFAF6D49"/>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semiHidden/>
    <w:unhideWhenUsed/>
    <w:qFormat/>
    <w:uiPriority w:val="99"/>
    <w:pPr>
      <w:jc w:val="left"/>
    </w:pPr>
  </w:style>
  <w:style w:type="paragraph" w:styleId="3">
    <w:name w:val="endnote text"/>
    <w:basedOn w:val="1"/>
    <w:link w:val="15"/>
    <w:semiHidden/>
    <w:unhideWhenUsed/>
    <w:qFormat/>
    <w:uiPriority w:val="99"/>
    <w:pPr>
      <w:snapToGrid w:val="0"/>
      <w:jc w:val="left"/>
    </w:pPr>
  </w:style>
  <w:style w:type="paragraph" w:styleId="4">
    <w:name w:val="Balloon Text"/>
    <w:basedOn w:val="1"/>
    <w:link w:val="18"/>
    <w:semiHidden/>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21"/>
    <w:semiHidden/>
    <w:qFormat/>
    <w:uiPriority w:val="99"/>
    <w:pPr>
      <w:snapToGrid w:val="0"/>
      <w:jc w:val="left"/>
    </w:pPr>
    <w:rPr>
      <w:rFonts w:ascii="Times New Roman" w:hAnsi="Times New Roman" w:eastAsia="PMingLiU"/>
      <w:sz w:val="20"/>
      <w:szCs w:val="20"/>
      <w:lang w:eastAsia="zh-TW"/>
    </w:rPr>
  </w:style>
  <w:style w:type="paragraph" w:styleId="8">
    <w:name w:val="annotation subject"/>
    <w:basedOn w:val="2"/>
    <w:next w:val="2"/>
    <w:link w:val="23"/>
    <w:semiHidden/>
    <w:unhideWhenUsed/>
    <w:qFormat/>
    <w:uiPriority w:val="99"/>
    <w:rPr>
      <w:b/>
      <w:bCs/>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ndnote reference"/>
    <w:semiHidden/>
    <w:unhideWhenUsed/>
    <w:qFormat/>
    <w:uiPriority w:val="99"/>
    <w:rPr>
      <w:vertAlign w:val="superscript"/>
    </w:rPr>
  </w:style>
  <w:style w:type="character" w:styleId="13">
    <w:name w:val="annotation reference"/>
    <w:basedOn w:val="11"/>
    <w:semiHidden/>
    <w:unhideWhenUsed/>
    <w:qFormat/>
    <w:uiPriority w:val="99"/>
    <w:rPr>
      <w:sz w:val="21"/>
      <w:szCs w:val="21"/>
    </w:rPr>
  </w:style>
  <w:style w:type="character" w:styleId="14">
    <w:name w:val="footnote reference"/>
    <w:semiHidden/>
    <w:unhideWhenUsed/>
    <w:qFormat/>
    <w:uiPriority w:val="99"/>
    <w:rPr>
      <w:vertAlign w:val="superscript"/>
    </w:rPr>
  </w:style>
  <w:style w:type="character" w:customStyle="1" w:styleId="15">
    <w:name w:val="尾注文本 字符"/>
    <w:basedOn w:val="11"/>
    <w:link w:val="3"/>
    <w:semiHidden/>
    <w:qFormat/>
    <w:uiPriority w:val="99"/>
  </w:style>
  <w:style w:type="character" w:customStyle="1" w:styleId="16">
    <w:name w:val="页眉 字符"/>
    <w:link w:val="6"/>
    <w:qFormat/>
    <w:uiPriority w:val="99"/>
    <w:rPr>
      <w:sz w:val="18"/>
      <w:szCs w:val="18"/>
    </w:rPr>
  </w:style>
  <w:style w:type="character" w:customStyle="1" w:styleId="17">
    <w:name w:val="页脚 字符"/>
    <w:link w:val="5"/>
    <w:qFormat/>
    <w:uiPriority w:val="99"/>
    <w:rPr>
      <w:sz w:val="18"/>
      <w:szCs w:val="18"/>
    </w:rPr>
  </w:style>
  <w:style w:type="character" w:customStyle="1" w:styleId="18">
    <w:name w:val="批注框文本 字符"/>
    <w:link w:val="4"/>
    <w:semiHidden/>
    <w:qFormat/>
    <w:uiPriority w:val="99"/>
    <w:rPr>
      <w:kern w:val="2"/>
      <w:sz w:val="18"/>
      <w:szCs w:val="18"/>
    </w:rPr>
  </w:style>
  <w:style w:type="paragraph" w:customStyle="1" w:styleId="19">
    <w:name w:val="列出段落1"/>
    <w:basedOn w:val="1"/>
    <w:qFormat/>
    <w:uiPriority w:val="34"/>
    <w:pPr>
      <w:ind w:firstLine="420" w:firstLineChars="200"/>
    </w:pPr>
  </w:style>
  <w:style w:type="paragraph" w:styleId="20">
    <w:name w:val="List Paragraph"/>
    <w:basedOn w:val="1"/>
    <w:qFormat/>
    <w:uiPriority w:val="34"/>
    <w:pPr>
      <w:ind w:firstLine="420" w:firstLineChars="200"/>
    </w:pPr>
  </w:style>
  <w:style w:type="character" w:customStyle="1" w:styleId="21">
    <w:name w:val="脚注文本 字符"/>
    <w:link w:val="7"/>
    <w:semiHidden/>
    <w:qFormat/>
    <w:uiPriority w:val="99"/>
    <w:rPr>
      <w:rFonts w:ascii="Times New Roman" w:hAnsi="Times New Roman" w:eastAsia="PMingLiU"/>
      <w:kern w:val="2"/>
      <w:lang w:eastAsia="zh-TW"/>
    </w:rPr>
  </w:style>
  <w:style w:type="character" w:customStyle="1" w:styleId="22">
    <w:name w:val="批注文字 字符"/>
    <w:basedOn w:val="11"/>
    <w:link w:val="2"/>
    <w:semiHidden/>
    <w:qFormat/>
    <w:uiPriority w:val="99"/>
    <w:rPr>
      <w:kern w:val="2"/>
      <w:sz w:val="21"/>
      <w:szCs w:val="22"/>
    </w:rPr>
  </w:style>
  <w:style w:type="character" w:customStyle="1" w:styleId="23">
    <w:name w:val="批注主题 字符"/>
    <w:basedOn w:val="22"/>
    <w:link w:val="8"/>
    <w:semiHidden/>
    <w:qFormat/>
    <w:uiPriority w:val="99"/>
    <w:rPr>
      <w:b/>
      <w:bCs/>
      <w:kern w:val="2"/>
      <w:sz w:val="21"/>
      <w:szCs w:val="22"/>
    </w:rPr>
  </w:style>
  <w:style w:type="paragraph" w:customStyle="1" w:styleId="24">
    <w:name w:val="修订1"/>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123</Words>
  <Characters>702</Characters>
  <Lines>5</Lines>
  <Paragraphs>1</Paragraphs>
  <TotalTime>107</TotalTime>
  <ScaleCrop>false</ScaleCrop>
  <LinksUpToDate>false</LinksUpToDate>
  <CharactersWithSpaces>824</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2023-06-20T18:39:00Z</dcterms:created>
  <dc:creator>Dehenglaw</dc:creator>
  <cp:lastModifiedBy>scjgj</cp:lastModifiedBy>
  <cp:lastPrinted>2411-12-31T08:00:00Z</cp:lastPrinted>
  <dcterms:modified xsi:type="dcterms:W3CDTF">2023-08-02T00:35:00Z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839D3BFEAA994B988DD26BCD7069FBA2_13</vt:lpwstr>
  </property>
</Properties>
</file>