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2525A" w14:textId="77777777" w:rsidR="00E603D2" w:rsidRPr="005661AF" w:rsidRDefault="00000000" w:rsidP="005661AF">
      <w:pPr>
        <w:spacing w:before="0" w:beforeAutospacing="0" w:after="0"/>
        <w:jc w:val="center"/>
        <w:rPr>
          <w:rFonts w:ascii="黑体" w:eastAsia="黑体" w:hAnsi="黑体"/>
          <w:sz w:val="36"/>
          <w:szCs w:val="36"/>
        </w:rPr>
      </w:pPr>
      <w:r w:rsidRPr="005661AF">
        <w:rPr>
          <w:rFonts w:ascii="黑体" w:eastAsia="黑体" w:hAnsi="黑体"/>
          <w:sz w:val="36"/>
          <w:szCs w:val="36"/>
        </w:rPr>
        <w:t>经营者集中简易案件公示表</w:t>
      </w:r>
    </w:p>
    <w:tbl>
      <w:tblPr>
        <w:tblW w:w="910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5555"/>
      </w:tblGrid>
      <w:tr w:rsidR="00E603D2" w:rsidRPr="005661AF" w14:paraId="0F9E0A41" w14:textId="77777777">
        <w:trPr>
          <w:trHeight w:val="926"/>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3D1E1D3D"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案件名称</w:t>
            </w: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47547F22" w14:textId="4E60DD30" w:rsidR="00E603D2" w:rsidRPr="005661AF" w:rsidRDefault="00000000" w:rsidP="005661AF">
            <w:pPr>
              <w:widowControl w:val="0"/>
              <w:autoSpaceDE w:val="0"/>
              <w:adjustRightInd w:val="0"/>
              <w:snapToGrid w:val="0"/>
              <w:spacing w:before="0" w:beforeAutospacing="0" w:after="0"/>
              <w:rPr>
                <w:bCs/>
                <w:color w:val="000000"/>
              </w:rPr>
            </w:pPr>
            <w:r w:rsidRPr="005661AF">
              <w:rPr>
                <w:bCs/>
                <w:color w:val="000000"/>
              </w:rPr>
              <w:t>KKR</w:t>
            </w:r>
            <w:r w:rsidRPr="005661AF">
              <w:rPr>
                <w:bCs/>
                <w:color w:val="000000"/>
              </w:rPr>
              <w:t>公司收购亚瑟港液化控股有限责任公司</w:t>
            </w:r>
            <w:r w:rsidR="00E22132" w:rsidRPr="005661AF">
              <w:rPr>
                <w:bCs/>
                <w:color w:val="000000"/>
              </w:rPr>
              <w:t>股</w:t>
            </w:r>
            <w:r w:rsidRPr="005661AF">
              <w:rPr>
                <w:bCs/>
                <w:color w:val="000000"/>
              </w:rPr>
              <w:t>权案</w:t>
            </w:r>
          </w:p>
        </w:tc>
      </w:tr>
      <w:tr w:rsidR="00E603D2" w:rsidRPr="005661AF" w14:paraId="78416706" w14:textId="77777777">
        <w:trPr>
          <w:trHeight w:val="1391"/>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3CFC1D5B"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交易概况（限</w:t>
            </w:r>
            <w:r w:rsidRPr="005661AF">
              <w:rPr>
                <w:rFonts w:cs="Times New Roman"/>
                <w:bCs/>
                <w:color w:val="000000"/>
              </w:rPr>
              <w:t>200</w:t>
            </w:r>
            <w:r w:rsidRPr="005661AF">
              <w:rPr>
                <w:rFonts w:cs="Times New Roman"/>
                <w:bCs/>
                <w:color w:val="000000"/>
              </w:rPr>
              <w:t>字内）</w:t>
            </w: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2EFEF950" w14:textId="095C03A9" w:rsidR="00E603D2" w:rsidRPr="005661AF" w:rsidRDefault="00000000" w:rsidP="005661AF">
            <w:pPr>
              <w:widowControl w:val="0"/>
              <w:autoSpaceDE w:val="0"/>
              <w:adjustRightInd w:val="0"/>
              <w:snapToGrid w:val="0"/>
              <w:spacing w:before="0" w:beforeAutospacing="0" w:after="0"/>
            </w:pPr>
            <w:r w:rsidRPr="005661AF">
              <w:t>2023</w:t>
            </w:r>
            <w:r w:rsidRPr="005661AF">
              <w:t>年</w:t>
            </w:r>
            <w:r w:rsidRPr="005661AF">
              <w:t>3</w:t>
            </w:r>
            <w:r w:rsidRPr="005661AF">
              <w:t>月</w:t>
            </w:r>
            <w:r w:rsidRPr="005661AF">
              <w:t>20</w:t>
            </w:r>
            <w:r w:rsidRPr="005661AF">
              <w:t>日，</w:t>
            </w:r>
            <w:r w:rsidRPr="005661AF">
              <w:t>KKR</w:t>
            </w:r>
            <w:r w:rsidRPr="005661AF">
              <w:t>公司</w:t>
            </w:r>
            <w:r w:rsidRPr="00CC3C20">
              <w:rPr>
                <w:rFonts w:ascii="宋体" w:hAnsi="宋体"/>
              </w:rPr>
              <w:t>（与</w:t>
            </w:r>
            <w:r w:rsidRPr="005661AF">
              <w:t>其子公司合称</w:t>
            </w:r>
            <w:r w:rsidRPr="00CC3C20">
              <w:rPr>
                <w:rFonts w:ascii="宋体" w:hAnsi="宋体"/>
              </w:rPr>
              <w:t>“</w:t>
            </w:r>
            <w:r w:rsidRPr="005661AF">
              <w:rPr>
                <w:b/>
                <w:bCs/>
              </w:rPr>
              <w:t>KKR</w:t>
            </w:r>
            <w:r w:rsidRPr="00CC3C20">
              <w:rPr>
                <w:rFonts w:ascii="宋体" w:hAnsi="宋体"/>
              </w:rPr>
              <w:t>”）</w:t>
            </w:r>
            <w:r w:rsidR="0031734A">
              <w:rPr>
                <w:rFonts w:hint="eastAsia"/>
              </w:rPr>
              <w:t>通过特殊目的公司</w:t>
            </w:r>
            <w:r w:rsidR="0031734A" w:rsidRPr="005661AF">
              <w:t>KKR</w:t>
            </w:r>
            <w:r w:rsidR="0031734A" w:rsidRPr="005661AF">
              <w:t>德纳里控股有限公司</w:t>
            </w:r>
            <w:r w:rsidR="0031734A" w:rsidRPr="00CC3C20">
              <w:rPr>
                <w:rFonts w:ascii="宋体" w:hAnsi="宋体"/>
              </w:rPr>
              <w:t>（“</w:t>
            </w:r>
            <w:r w:rsidR="0031734A" w:rsidRPr="005661AF">
              <w:rPr>
                <w:b/>
              </w:rPr>
              <w:t>KKR</w:t>
            </w:r>
            <w:r w:rsidR="0031734A" w:rsidRPr="005661AF">
              <w:rPr>
                <w:b/>
              </w:rPr>
              <w:t>德纳里</w:t>
            </w:r>
            <w:r w:rsidR="0031734A" w:rsidRPr="00CC3C20">
              <w:rPr>
                <w:rFonts w:ascii="宋体" w:hAnsi="宋体"/>
              </w:rPr>
              <w:t>”</w:t>
            </w:r>
            <w:r w:rsidR="0031734A">
              <w:rPr>
                <w:rFonts w:ascii="宋体" w:hAnsi="宋体" w:hint="eastAsia"/>
              </w:rPr>
              <w:t>）</w:t>
            </w:r>
            <w:r w:rsidRPr="005661AF">
              <w:t>与桑普拉基础设施合伙人有限合伙</w:t>
            </w:r>
            <w:r w:rsidRPr="00CC3C20">
              <w:rPr>
                <w:rFonts w:ascii="宋体" w:hAnsi="宋体"/>
              </w:rPr>
              <w:t>（“</w:t>
            </w:r>
            <w:r w:rsidRPr="005661AF">
              <w:rPr>
                <w:b/>
              </w:rPr>
              <w:t>桑普拉基础设施合伙人</w:t>
            </w:r>
            <w:r w:rsidRPr="00CC3C20">
              <w:rPr>
                <w:rFonts w:ascii="宋体" w:hAnsi="宋体"/>
              </w:rPr>
              <w:t>”）签</w:t>
            </w:r>
            <w:r w:rsidRPr="005661AF">
              <w:t>署了一份权益</w:t>
            </w:r>
            <w:r w:rsidRPr="005661AF">
              <w:rPr>
                <w:lang w:eastAsia="zh-Hans"/>
              </w:rPr>
              <w:t>买卖</w:t>
            </w:r>
            <w:r w:rsidRPr="005661AF">
              <w:t>协议。根据该协议，</w:t>
            </w:r>
            <w:r w:rsidRPr="005661AF">
              <w:t>KKR</w:t>
            </w:r>
            <w:r w:rsidRPr="005661AF">
              <w:t>德纳里将</w:t>
            </w:r>
            <w:r w:rsidR="00E22132" w:rsidRPr="005661AF">
              <w:t>通过桑普拉</w:t>
            </w:r>
            <w:r w:rsidR="00E22132" w:rsidRPr="005661AF">
              <w:t>PALNG</w:t>
            </w:r>
            <w:r w:rsidR="00E22132" w:rsidRPr="005661AF">
              <w:t>控股有限公司</w:t>
            </w:r>
            <w:r w:rsidRPr="005661AF">
              <w:t>间接收购</w:t>
            </w:r>
            <w:r w:rsidRPr="005661AF">
              <w:rPr>
                <w:bCs/>
                <w:color w:val="000000"/>
              </w:rPr>
              <w:t>亚瑟港液化</w:t>
            </w:r>
            <w:r w:rsidRPr="005661AF">
              <w:rPr>
                <w:color w:val="000000"/>
              </w:rPr>
              <w:t>控股</w:t>
            </w:r>
            <w:r w:rsidRPr="005661AF">
              <w:rPr>
                <w:bCs/>
                <w:color w:val="000000"/>
              </w:rPr>
              <w:t>有限责任公司</w:t>
            </w:r>
            <w:r w:rsidRPr="00CC3C20">
              <w:rPr>
                <w:rFonts w:ascii="宋体" w:hAnsi="宋体"/>
              </w:rPr>
              <w:t>（“</w:t>
            </w:r>
            <w:r w:rsidR="00E22132" w:rsidRPr="005661AF">
              <w:rPr>
                <w:b/>
              </w:rPr>
              <w:t>亚瑟港液化控股</w:t>
            </w:r>
            <w:r w:rsidRPr="00CC3C20">
              <w:rPr>
                <w:rFonts w:ascii="宋体" w:hAnsi="宋体"/>
              </w:rPr>
              <w:t>”）</w:t>
            </w:r>
            <w:r w:rsidRPr="005661AF">
              <w:t>的权益，</w:t>
            </w:r>
            <w:r w:rsidR="00E22132" w:rsidRPr="005661AF">
              <w:t>亚瑟港液化控股</w:t>
            </w:r>
            <w:r w:rsidRPr="005661AF">
              <w:rPr>
                <w:bCs/>
                <w:color w:val="000000"/>
              </w:rPr>
              <w:t>将负责</w:t>
            </w:r>
            <w:r w:rsidRPr="005661AF">
              <w:rPr>
                <w:color w:val="000000"/>
              </w:rPr>
              <w:t>开发</w:t>
            </w:r>
            <w:r w:rsidRPr="005661AF">
              <w:rPr>
                <w:bCs/>
                <w:color w:val="000000"/>
              </w:rPr>
              <w:t>、</w:t>
            </w:r>
            <w:r w:rsidRPr="005661AF">
              <w:rPr>
                <w:color w:val="000000"/>
              </w:rPr>
              <w:t>建造</w:t>
            </w:r>
            <w:r w:rsidRPr="005661AF">
              <w:rPr>
                <w:bCs/>
                <w:color w:val="000000"/>
              </w:rPr>
              <w:t>和</w:t>
            </w:r>
            <w:r w:rsidRPr="005661AF">
              <w:rPr>
                <w:color w:val="000000"/>
              </w:rPr>
              <w:t>运营位于美国</w:t>
            </w:r>
            <w:r w:rsidRPr="005661AF">
              <w:rPr>
                <w:bCs/>
                <w:color w:val="000000"/>
              </w:rPr>
              <w:t>德克萨斯州杰斐逊县的亚瑟港液化天然气一期项目</w:t>
            </w:r>
            <w:r w:rsidRPr="005661AF">
              <w:rPr>
                <w:color w:val="000000"/>
              </w:rPr>
              <w:t>。</w:t>
            </w:r>
          </w:p>
          <w:p w14:paraId="06AF2FF5" w14:textId="77777777" w:rsidR="00E603D2" w:rsidRPr="005661AF" w:rsidRDefault="00E603D2" w:rsidP="005661AF">
            <w:pPr>
              <w:widowControl w:val="0"/>
              <w:autoSpaceDE w:val="0"/>
              <w:adjustRightInd w:val="0"/>
              <w:snapToGrid w:val="0"/>
              <w:spacing w:before="0" w:beforeAutospacing="0" w:after="0"/>
            </w:pPr>
          </w:p>
          <w:p w14:paraId="09CF7ED5" w14:textId="1D22983A" w:rsidR="00E603D2" w:rsidRPr="005661AF" w:rsidRDefault="00000000" w:rsidP="005661AF">
            <w:pPr>
              <w:widowControl w:val="0"/>
              <w:autoSpaceDE w:val="0"/>
              <w:adjustRightInd w:val="0"/>
              <w:snapToGrid w:val="0"/>
              <w:spacing w:before="0" w:beforeAutospacing="0" w:after="0"/>
            </w:pPr>
            <w:r w:rsidRPr="005661AF">
              <w:t>交易前，</w:t>
            </w:r>
            <w:r w:rsidRPr="005661AF">
              <w:rPr>
                <w:color w:val="000000"/>
              </w:rPr>
              <w:t>桑普拉基础设施合伙人</w:t>
            </w:r>
            <w:r w:rsidRPr="005661AF">
              <w:t>和康菲公司分别间接持有</w:t>
            </w:r>
            <w:r w:rsidR="00E22132" w:rsidRPr="005661AF">
              <w:t>亚瑟港液化控股</w:t>
            </w:r>
            <w:r w:rsidRPr="005661AF">
              <w:t>70%</w:t>
            </w:r>
            <w:r w:rsidRPr="005661AF">
              <w:t>和</w:t>
            </w:r>
            <w:r w:rsidRPr="005661AF">
              <w:t>30%</w:t>
            </w:r>
            <w:r w:rsidRPr="005661AF">
              <w:t>的成员权益，并共同控制</w:t>
            </w:r>
            <w:r w:rsidR="00E22132" w:rsidRPr="005661AF">
              <w:t>亚瑟港液化控股</w:t>
            </w:r>
            <w:r w:rsidRPr="005661AF">
              <w:t>。交易后，</w:t>
            </w:r>
            <w:r w:rsidRPr="005661AF">
              <w:t>KKR</w:t>
            </w:r>
            <w:r w:rsidRPr="005661AF">
              <w:t>、</w:t>
            </w:r>
            <w:r w:rsidRPr="005661AF">
              <w:rPr>
                <w:color w:val="000000"/>
              </w:rPr>
              <w:t>桑普拉基础设施合伙人</w:t>
            </w:r>
            <w:r w:rsidRPr="005661AF">
              <w:t>和康菲公司将分别间接持有</w:t>
            </w:r>
            <w:r w:rsidR="00E22132" w:rsidRPr="005661AF">
              <w:t>亚瑟港液化控股</w:t>
            </w:r>
            <w:r w:rsidRPr="005661AF">
              <w:t>42%</w:t>
            </w:r>
            <w:r w:rsidRPr="005661AF">
              <w:t>、</w:t>
            </w:r>
            <w:r w:rsidRPr="005661AF">
              <w:t>28%</w:t>
            </w:r>
            <w:r w:rsidRPr="005661AF">
              <w:t>和</w:t>
            </w:r>
            <w:r w:rsidRPr="005661AF">
              <w:t>30%</w:t>
            </w:r>
            <w:r w:rsidRPr="005661AF">
              <w:t>的权益，并共同控制</w:t>
            </w:r>
            <w:r w:rsidR="00E22132" w:rsidRPr="005661AF">
              <w:t>亚瑟港液化控股</w:t>
            </w:r>
            <w:r w:rsidRPr="005661AF">
              <w:t>。</w:t>
            </w:r>
          </w:p>
        </w:tc>
      </w:tr>
      <w:tr w:rsidR="00E603D2" w:rsidRPr="005661AF" w14:paraId="14F00B44" w14:textId="77777777">
        <w:trPr>
          <w:trHeight w:val="942"/>
        </w:trPr>
        <w:tc>
          <w:tcPr>
            <w:tcW w:w="1940" w:type="dxa"/>
            <w:vMerge w:val="restart"/>
            <w:tcBorders>
              <w:top w:val="nil"/>
              <w:left w:val="single" w:sz="4" w:space="0" w:color="auto"/>
              <w:right w:val="single" w:sz="4" w:space="0" w:color="auto"/>
            </w:tcBorders>
            <w:shd w:val="clear" w:color="auto" w:fill="D9D9D9"/>
            <w:vAlign w:val="center"/>
          </w:tcPr>
          <w:p w14:paraId="001A537C"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参与集中的经营者简介（每个限</w:t>
            </w:r>
            <w:r w:rsidRPr="005661AF">
              <w:rPr>
                <w:rFonts w:cs="Times New Roman"/>
                <w:bCs/>
                <w:color w:val="000000"/>
              </w:rPr>
              <w:t>100</w:t>
            </w:r>
            <w:r w:rsidRPr="005661AF">
              <w:rPr>
                <w:rFonts w:cs="Times New Roman"/>
                <w:bCs/>
                <w:color w:val="000000"/>
              </w:rPr>
              <w:t>字以内）</w:t>
            </w:r>
          </w:p>
        </w:tc>
        <w:tc>
          <w:tcPr>
            <w:tcW w:w="1607" w:type="dxa"/>
            <w:tcBorders>
              <w:top w:val="single" w:sz="4" w:space="0" w:color="auto"/>
              <w:left w:val="single" w:sz="4" w:space="0" w:color="auto"/>
              <w:bottom w:val="single" w:sz="4" w:space="0" w:color="auto"/>
              <w:right w:val="single" w:sz="4" w:space="0" w:color="auto"/>
            </w:tcBorders>
            <w:vAlign w:val="center"/>
          </w:tcPr>
          <w:p w14:paraId="0D016ABB"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color w:val="000000" w:themeColor="text1"/>
              </w:rPr>
              <w:t>KKR</w:t>
            </w:r>
          </w:p>
        </w:tc>
        <w:tc>
          <w:tcPr>
            <w:tcW w:w="5555" w:type="dxa"/>
            <w:tcBorders>
              <w:top w:val="single" w:sz="4" w:space="0" w:color="auto"/>
              <w:left w:val="single" w:sz="4" w:space="0" w:color="auto"/>
              <w:bottom w:val="single" w:sz="4" w:space="0" w:color="auto"/>
              <w:right w:val="single" w:sz="4" w:space="0" w:color="auto"/>
            </w:tcBorders>
            <w:vAlign w:val="center"/>
          </w:tcPr>
          <w:p w14:paraId="0A6841A2" w14:textId="4AB0FC59" w:rsidR="00E603D2" w:rsidRPr="005661AF" w:rsidRDefault="00000000" w:rsidP="005661AF">
            <w:pPr>
              <w:pStyle w:val="a5"/>
              <w:widowControl w:val="0"/>
              <w:autoSpaceDE w:val="0"/>
              <w:adjustRightInd w:val="0"/>
              <w:snapToGrid w:val="0"/>
              <w:spacing w:before="0" w:beforeAutospacing="0" w:after="0"/>
              <w:rPr>
                <w:rFonts w:cs="Times New Roman"/>
                <w:color w:val="000000" w:themeColor="text1"/>
              </w:rPr>
            </w:pPr>
            <w:r w:rsidRPr="005661AF">
              <w:rPr>
                <w:rFonts w:cs="Times New Roman"/>
                <w:color w:val="000000" w:themeColor="text1"/>
              </w:rPr>
              <w:t>KKR</w:t>
            </w:r>
            <w:r w:rsidR="00E22132" w:rsidRPr="005661AF">
              <w:rPr>
                <w:rFonts w:cs="Times New Roman"/>
                <w:color w:val="000000" w:themeColor="text1"/>
              </w:rPr>
              <w:t>公司于</w:t>
            </w:r>
            <w:r w:rsidR="00CC3C20">
              <w:rPr>
                <w:rFonts w:cs="Times New Roman"/>
                <w:color w:val="000000" w:themeColor="text1"/>
              </w:rPr>
              <w:t>1976</w:t>
            </w:r>
            <w:r w:rsidR="00CC3C20">
              <w:rPr>
                <w:rFonts w:cs="Times New Roman" w:hint="eastAsia"/>
                <w:color w:val="000000" w:themeColor="text1"/>
              </w:rPr>
              <w:t>年作为一家私募股权公司</w:t>
            </w:r>
            <w:r w:rsidR="00CC3C20" w:rsidRPr="005661AF">
              <w:rPr>
                <w:rFonts w:cs="Times New Roman"/>
                <w:color w:val="000000" w:themeColor="text1"/>
              </w:rPr>
              <w:t>在美国</w:t>
            </w:r>
            <w:r w:rsidR="00E22132" w:rsidRPr="005661AF">
              <w:rPr>
                <w:rFonts w:cs="Times New Roman"/>
                <w:color w:val="000000" w:themeColor="text1"/>
              </w:rPr>
              <w:t>成立</w:t>
            </w:r>
            <w:r w:rsidR="00CC3C20">
              <w:rPr>
                <w:rFonts w:cs="Times New Roman" w:hint="eastAsia"/>
                <w:color w:val="000000" w:themeColor="text1"/>
              </w:rPr>
              <w:t>。</w:t>
            </w:r>
            <w:r w:rsidR="00CC3C20">
              <w:rPr>
                <w:rFonts w:cs="Times New Roman" w:hint="eastAsia"/>
                <w:color w:val="000000" w:themeColor="text1"/>
              </w:rPr>
              <w:t>KKR</w:t>
            </w:r>
            <w:r w:rsidR="00CC3C20">
              <w:rPr>
                <w:rFonts w:cs="Times New Roman" w:hint="eastAsia"/>
                <w:color w:val="000000" w:themeColor="text1"/>
              </w:rPr>
              <w:t>公司为</w:t>
            </w:r>
            <w:r w:rsidR="00E22132" w:rsidRPr="005661AF">
              <w:rPr>
                <w:rFonts w:cs="Times New Roman"/>
                <w:color w:val="000000" w:themeColor="text1"/>
              </w:rPr>
              <w:t>纽约证券交易所上市</w:t>
            </w:r>
            <w:r w:rsidR="005661AF">
              <w:rPr>
                <w:rFonts w:cs="Times New Roman" w:hint="eastAsia"/>
                <w:color w:val="000000" w:themeColor="text1"/>
              </w:rPr>
              <w:t>公司</w:t>
            </w:r>
            <w:r w:rsidR="0031734A" w:rsidRPr="00D6519B">
              <w:rPr>
                <w:rFonts w:hint="eastAsia"/>
                <w:color w:val="000000" w:themeColor="text1"/>
              </w:rPr>
              <w:t>，主要从事投资业务。</w:t>
            </w:r>
          </w:p>
          <w:p w14:paraId="5CAAA075" w14:textId="77777777" w:rsidR="00E603D2" w:rsidRPr="005661AF" w:rsidRDefault="00E603D2" w:rsidP="005661AF">
            <w:pPr>
              <w:pStyle w:val="a5"/>
              <w:widowControl w:val="0"/>
              <w:autoSpaceDE w:val="0"/>
              <w:adjustRightInd w:val="0"/>
              <w:snapToGrid w:val="0"/>
              <w:spacing w:before="0" w:beforeAutospacing="0" w:after="0"/>
              <w:rPr>
                <w:rFonts w:cs="Times New Roman"/>
                <w:color w:val="000000" w:themeColor="text1"/>
              </w:rPr>
            </w:pPr>
          </w:p>
          <w:p w14:paraId="18DA976E" w14:textId="5E8BA2C5" w:rsidR="00E603D2" w:rsidRPr="005661AF" w:rsidRDefault="00000000" w:rsidP="005661AF">
            <w:pPr>
              <w:pStyle w:val="a5"/>
              <w:widowControl w:val="0"/>
              <w:autoSpaceDE w:val="0"/>
              <w:adjustRightInd w:val="0"/>
              <w:snapToGrid w:val="0"/>
              <w:spacing w:before="0" w:beforeAutospacing="0" w:after="0"/>
              <w:rPr>
                <w:rFonts w:cs="Times New Roman"/>
                <w:color w:val="000000" w:themeColor="text1"/>
              </w:rPr>
            </w:pPr>
            <w:r w:rsidRPr="005661AF">
              <w:rPr>
                <w:rFonts w:cs="Times New Roman"/>
                <w:color w:val="000000" w:themeColor="text1"/>
              </w:rPr>
              <w:t>KKR</w:t>
            </w:r>
            <w:r w:rsidRPr="005661AF">
              <w:rPr>
                <w:rFonts w:cs="Times New Roman"/>
                <w:color w:val="000000" w:themeColor="text1"/>
              </w:rPr>
              <w:t>的最终控制人为</w:t>
            </w:r>
            <w:r w:rsidRPr="005661AF">
              <w:rPr>
                <w:rFonts w:cs="Times New Roman"/>
                <w:color w:val="000000" w:themeColor="text1"/>
              </w:rPr>
              <w:t>KKR</w:t>
            </w:r>
            <w:r w:rsidRPr="005661AF">
              <w:rPr>
                <w:rFonts w:cs="Times New Roman"/>
                <w:color w:val="000000" w:themeColor="text1"/>
              </w:rPr>
              <w:t>管理有限合伙，是一家控股公司</w:t>
            </w:r>
            <w:r w:rsidR="0031734A" w:rsidRPr="00D6519B">
              <w:rPr>
                <w:rFonts w:hint="eastAsia"/>
                <w:color w:val="000000" w:themeColor="text1"/>
              </w:rPr>
              <w:t>。</w:t>
            </w:r>
          </w:p>
        </w:tc>
      </w:tr>
      <w:tr w:rsidR="00E603D2" w:rsidRPr="005661AF" w14:paraId="35D34EE2" w14:textId="77777777">
        <w:trPr>
          <w:trHeight w:val="984"/>
        </w:trPr>
        <w:tc>
          <w:tcPr>
            <w:tcW w:w="1940" w:type="dxa"/>
            <w:vMerge/>
            <w:tcBorders>
              <w:left w:val="single" w:sz="4" w:space="0" w:color="auto"/>
              <w:right w:val="single" w:sz="4" w:space="0" w:color="auto"/>
            </w:tcBorders>
            <w:vAlign w:val="center"/>
          </w:tcPr>
          <w:p w14:paraId="57ECDAF0" w14:textId="77777777" w:rsidR="00E603D2" w:rsidRPr="005661AF" w:rsidRDefault="00E603D2" w:rsidP="005661AF">
            <w:pPr>
              <w:spacing w:before="0" w:beforeAutospacing="0" w:after="0"/>
              <w:jc w:val="left"/>
              <w:rPr>
                <w:bCs/>
                <w:color w:val="000000"/>
              </w:rPr>
            </w:pPr>
          </w:p>
        </w:tc>
        <w:tc>
          <w:tcPr>
            <w:tcW w:w="1607" w:type="dxa"/>
            <w:tcBorders>
              <w:top w:val="single" w:sz="4" w:space="0" w:color="auto"/>
              <w:left w:val="single" w:sz="4" w:space="0" w:color="auto"/>
              <w:bottom w:val="single" w:sz="4" w:space="0" w:color="auto"/>
              <w:right w:val="single" w:sz="4" w:space="0" w:color="auto"/>
            </w:tcBorders>
            <w:vAlign w:val="center"/>
          </w:tcPr>
          <w:p w14:paraId="3497FB9C" w14:textId="4E696044" w:rsidR="00E603D2" w:rsidRPr="005661AF" w:rsidRDefault="00E22132"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亚瑟港液化控股</w:t>
            </w:r>
          </w:p>
        </w:tc>
        <w:tc>
          <w:tcPr>
            <w:tcW w:w="5555" w:type="dxa"/>
            <w:tcBorders>
              <w:top w:val="single" w:sz="4" w:space="0" w:color="auto"/>
              <w:left w:val="single" w:sz="4" w:space="0" w:color="auto"/>
              <w:bottom w:val="single" w:sz="4" w:space="0" w:color="auto"/>
              <w:right w:val="single" w:sz="4" w:space="0" w:color="auto"/>
            </w:tcBorders>
            <w:vAlign w:val="center"/>
          </w:tcPr>
          <w:p w14:paraId="459C6205" w14:textId="5069E51B" w:rsidR="00E603D2" w:rsidRPr="005661AF" w:rsidRDefault="00E22132" w:rsidP="005661AF">
            <w:pPr>
              <w:widowControl w:val="0"/>
              <w:autoSpaceDE w:val="0"/>
              <w:adjustRightInd w:val="0"/>
              <w:snapToGrid w:val="0"/>
              <w:spacing w:before="0" w:beforeAutospacing="0" w:after="0"/>
              <w:rPr>
                <w:bCs/>
                <w:color w:val="000000"/>
              </w:rPr>
            </w:pPr>
            <w:r w:rsidRPr="005661AF">
              <w:rPr>
                <w:kern w:val="2"/>
                <w:lang w:bidi="ar"/>
              </w:rPr>
              <w:t>亚瑟港液化控股</w:t>
            </w:r>
            <w:r w:rsidRPr="005661AF">
              <w:rPr>
                <w:kern w:val="2"/>
              </w:rPr>
              <w:t>于</w:t>
            </w:r>
            <w:r w:rsidRPr="005661AF">
              <w:rPr>
                <w:kern w:val="2"/>
              </w:rPr>
              <w:t>2018</w:t>
            </w:r>
            <w:r w:rsidRPr="005661AF">
              <w:rPr>
                <w:kern w:val="2"/>
              </w:rPr>
              <w:t>年</w:t>
            </w:r>
            <w:r w:rsidRPr="005661AF">
              <w:rPr>
                <w:kern w:val="2"/>
                <w:lang w:bidi="ar"/>
              </w:rPr>
              <w:t>11</w:t>
            </w:r>
            <w:r w:rsidRPr="005661AF">
              <w:rPr>
                <w:kern w:val="2"/>
                <w:lang w:bidi="ar"/>
              </w:rPr>
              <w:t>月</w:t>
            </w:r>
            <w:r w:rsidRPr="005661AF">
              <w:rPr>
                <w:kern w:val="2"/>
                <w:lang w:bidi="ar"/>
              </w:rPr>
              <w:t>7</w:t>
            </w:r>
            <w:r w:rsidRPr="005661AF">
              <w:rPr>
                <w:kern w:val="2"/>
                <w:lang w:bidi="ar"/>
              </w:rPr>
              <w:t>日</w:t>
            </w:r>
            <w:r w:rsidRPr="005661AF">
              <w:rPr>
                <w:kern w:val="2"/>
              </w:rPr>
              <w:t>在</w:t>
            </w:r>
            <w:r w:rsidRPr="005661AF">
              <w:rPr>
                <w:kern w:val="2"/>
                <w:lang w:bidi="ar"/>
              </w:rPr>
              <w:t>美国</w:t>
            </w:r>
            <w:r w:rsidR="009F381D">
              <w:rPr>
                <w:rFonts w:hint="eastAsia"/>
                <w:kern w:val="2"/>
              </w:rPr>
              <w:t>成</w:t>
            </w:r>
            <w:r w:rsidRPr="005661AF">
              <w:rPr>
                <w:kern w:val="2"/>
              </w:rPr>
              <w:t>立</w:t>
            </w:r>
            <w:r w:rsidRPr="005661AF">
              <w:rPr>
                <w:kern w:val="2"/>
                <w:lang w:bidi="ar"/>
              </w:rPr>
              <w:t>。</w:t>
            </w:r>
            <w:r w:rsidRPr="005661AF">
              <w:rPr>
                <w:bCs/>
                <w:color w:val="000000"/>
              </w:rPr>
              <w:t>亚瑟港液化控股将负责开发、建造和运营位于美国德克萨斯州杰斐逊县的亚瑟港液化天然气一期项目。亚瑟港液化控股不会</w:t>
            </w:r>
            <w:r w:rsidRPr="005661AF">
              <w:rPr>
                <w:color w:val="000000"/>
              </w:rPr>
              <w:t>在</w:t>
            </w:r>
            <w:r w:rsidRPr="005661AF">
              <w:rPr>
                <w:bCs/>
                <w:color w:val="000000"/>
              </w:rPr>
              <w:t>中国境内开展业务。</w:t>
            </w:r>
          </w:p>
          <w:p w14:paraId="1B692532" w14:textId="77777777" w:rsidR="00E603D2" w:rsidRPr="005661AF" w:rsidRDefault="00E603D2" w:rsidP="005661AF">
            <w:pPr>
              <w:widowControl w:val="0"/>
              <w:autoSpaceDE w:val="0"/>
              <w:adjustRightInd w:val="0"/>
              <w:snapToGrid w:val="0"/>
              <w:spacing w:before="0" w:beforeAutospacing="0" w:after="0"/>
              <w:rPr>
                <w:bCs/>
                <w:color w:val="000000"/>
              </w:rPr>
            </w:pPr>
          </w:p>
          <w:p w14:paraId="2BC4BEAA" w14:textId="216C6420" w:rsidR="00E603D2" w:rsidRPr="005661AF" w:rsidRDefault="00E22132" w:rsidP="005661AF">
            <w:pPr>
              <w:widowControl w:val="0"/>
              <w:autoSpaceDE w:val="0"/>
              <w:adjustRightInd w:val="0"/>
              <w:snapToGrid w:val="0"/>
              <w:spacing w:before="0" w:beforeAutospacing="0" w:after="0"/>
              <w:rPr>
                <w:bCs/>
                <w:color w:val="000000"/>
              </w:rPr>
            </w:pPr>
            <w:r w:rsidRPr="005661AF">
              <w:rPr>
                <w:bCs/>
                <w:color w:val="000000"/>
              </w:rPr>
              <w:t>亚瑟港液化控股的最终控制人为桑普拉</w:t>
            </w:r>
            <w:r w:rsidR="0031734A">
              <w:rPr>
                <w:rFonts w:hint="eastAsia"/>
                <w:bCs/>
                <w:color w:val="000000"/>
              </w:rPr>
              <w:t>和康菲公司</w:t>
            </w:r>
            <w:r w:rsidRPr="005661AF">
              <w:rPr>
                <w:bCs/>
                <w:color w:val="000000"/>
              </w:rPr>
              <w:t>。</w:t>
            </w:r>
          </w:p>
        </w:tc>
      </w:tr>
      <w:tr w:rsidR="00E603D2" w:rsidRPr="005661AF" w14:paraId="5E28C219" w14:textId="77777777">
        <w:trPr>
          <w:trHeight w:val="984"/>
        </w:trPr>
        <w:tc>
          <w:tcPr>
            <w:tcW w:w="1940" w:type="dxa"/>
            <w:vMerge/>
            <w:tcBorders>
              <w:left w:val="single" w:sz="4" w:space="0" w:color="auto"/>
              <w:right w:val="single" w:sz="4" w:space="0" w:color="auto"/>
            </w:tcBorders>
            <w:vAlign w:val="center"/>
          </w:tcPr>
          <w:p w14:paraId="068606C0" w14:textId="77777777" w:rsidR="00E603D2" w:rsidRPr="005661AF" w:rsidRDefault="00E603D2" w:rsidP="005661AF">
            <w:pPr>
              <w:spacing w:before="0" w:beforeAutospacing="0" w:after="0"/>
              <w:jc w:val="left"/>
              <w:rPr>
                <w:bCs/>
                <w:color w:val="000000"/>
              </w:rPr>
            </w:pPr>
          </w:p>
        </w:tc>
        <w:tc>
          <w:tcPr>
            <w:tcW w:w="1607" w:type="dxa"/>
            <w:tcBorders>
              <w:top w:val="single" w:sz="4" w:space="0" w:color="auto"/>
              <w:left w:val="single" w:sz="4" w:space="0" w:color="auto"/>
              <w:bottom w:val="single" w:sz="4" w:space="0" w:color="auto"/>
              <w:right w:val="single" w:sz="4" w:space="0" w:color="auto"/>
            </w:tcBorders>
            <w:vAlign w:val="center"/>
          </w:tcPr>
          <w:p w14:paraId="5EBDB4A3"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桑普拉基础设施合伙人</w:t>
            </w:r>
          </w:p>
        </w:tc>
        <w:tc>
          <w:tcPr>
            <w:tcW w:w="5555" w:type="dxa"/>
            <w:tcBorders>
              <w:top w:val="single" w:sz="4" w:space="0" w:color="auto"/>
              <w:left w:val="single" w:sz="4" w:space="0" w:color="auto"/>
              <w:bottom w:val="single" w:sz="4" w:space="0" w:color="auto"/>
              <w:right w:val="single" w:sz="4" w:space="0" w:color="auto"/>
            </w:tcBorders>
            <w:vAlign w:val="center"/>
          </w:tcPr>
          <w:p w14:paraId="2EC7B698" w14:textId="5649E3A9" w:rsidR="00E603D2" w:rsidRPr="005661AF" w:rsidRDefault="00000000" w:rsidP="005661AF">
            <w:pPr>
              <w:widowControl w:val="0"/>
              <w:autoSpaceDE w:val="0"/>
              <w:adjustRightInd w:val="0"/>
              <w:snapToGrid w:val="0"/>
              <w:spacing w:before="0" w:beforeAutospacing="0" w:after="0"/>
            </w:pPr>
            <w:r w:rsidRPr="005661AF">
              <w:t>桑普拉基础设施合伙人于</w:t>
            </w:r>
            <w:r w:rsidRPr="005661AF">
              <w:t>2021</w:t>
            </w:r>
            <w:r w:rsidRPr="005661AF">
              <w:t>年</w:t>
            </w:r>
            <w:r w:rsidRPr="005661AF">
              <w:t>9</w:t>
            </w:r>
            <w:r w:rsidRPr="005661AF">
              <w:t>月</w:t>
            </w:r>
            <w:r w:rsidRPr="005661AF">
              <w:t>30</w:t>
            </w:r>
            <w:r w:rsidRPr="005661AF">
              <w:t>日在美国成立，并主要在北美地区开发、建造、运营和投资关键基础设施。</w:t>
            </w:r>
          </w:p>
          <w:p w14:paraId="3EB4B5D8" w14:textId="77777777" w:rsidR="00E603D2" w:rsidRPr="005661AF" w:rsidRDefault="00E603D2" w:rsidP="005661AF">
            <w:pPr>
              <w:widowControl w:val="0"/>
              <w:autoSpaceDE w:val="0"/>
              <w:adjustRightInd w:val="0"/>
              <w:snapToGrid w:val="0"/>
              <w:spacing w:before="0" w:beforeAutospacing="0" w:after="0"/>
            </w:pPr>
          </w:p>
          <w:p w14:paraId="35B0E407" w14:textId="77777777" w:rsidR="00E603D2" w:rsidRPr="005661AF" w:rsidRDefault="00000000" w:rsidP="005661AF">
            <w:pPr>
              <w:widowControl w:val="0"/>
              <w:autoSpaceDE w:val="0"/>
              <w:adjustRightInd w:val="0"/>
              <w:snapToGrid w:val="0"/>
              <w:spacing w:before="0" w:beforeAutospacing="0" w:after="0"/>
            </w:pPr>
            <w:r w:rsidRPr="005661AF">
              <w:t>桑普拉基础设施合伙人的最终控制人为桑普拉，后者通过其子公司投资、开发和运营能源基础设施，并主要面向北美地区客户提供电力和天然气服务。</w:t>
            </w:r>
          </w:p>
        </w:tc>
      </w:tr>
      <w:tr w:rsidR="00E603D2" w:rsidRPr="005661AF" w14:paraId="67802BB9" w14:textId="77777777" w:rsidTr="00A143E0">
        <w:trPr>
          <w:trHeight w:val="416"/>
        </w:trPr>
        <w:tc>
          <w:tcPr>
            <w:tcW w:w="1940" w:type="dxa"/>
            <w:vMerge/>
            <w:tcBorders>
              <w:left w:val="single" w:sz="4" w:space="0" w:color="auto"/>
              <w:bottom w:val="single" w:sz="4" w:space="0" w:color="auto"/>
              <w:right w:val="single" w:sz="4" w:space="0" w:color="auto"/>
            </w:tcBorders>
            <w:vAlign w:val="center"/>
          </w:tcPr>
          <w:p w14:paraId="5CAB25F4" w14:textId="77777777" w:rsidR="00E603D2" w:rsidRPr="005661AF" w:rsidRDefault="00E603D2" w:rsidP="005661AF">
            <w:pPr>
              <w:spacing w:before="0" w:beforeAutospacing="0" w:after="0"/>
              <w:jc w:val="left"/>
              <w:rPr>
                <w:bCs/>
                <w:color w:val="000000"/>
              </w:rPr>
            </w:pPr>
          </w:p>
        </w:tc>
        <w:tc>
          <w:tcPr>
            <w:tcW w:w="1607" w:type="dxa"/>
            <w:tcBorders>
              <w:top w:val="single" w:sz="4" w:space="0" w:color="auto"/>
              <w:left w:val="single" w:sz="4" w:space="0" w:color="auto"/>
              <w:bottom w:val="single" w:sz="4" w:space="0" w:color="auto"/>
              <w:right w:val="single" w:sz="4" w:space="0" w:color="auto"/>
            </w:tcBorders>
            <w:vAlign w:val="center"/>
          </w:tcPr>
          <w:p w14:paraId="2CDBD88F"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康菲公司</w:t>
            </w:r>
          </w:p>
        </w:tc>
        <w:tc>
          <w:tcPr>
            <w:tcW w:w="5555" w:type="dxa"/>
            <w:tcBorders>
              <w:top w:val="single" w:sz="4" w:space="0" w:color="auto"/>
              <w:left w:val="single" w:sz="4" w:space="0" w:color="auto"/>
              <w:bottom w:val="single" w:sz="4" w:space="0" w:color="auto"/>
              <w:right w:val="single" w:sz="4" w:space="0" w:color="auto"/>
            </w:tcBorders>
            <w:vAlign w:val="center"/>
          </w:tcPr>
          <w:p w14:paraId="090FB467" w14:textId="41D9E812" w:rsidR="00E603D2" w:rsidRPr="005661AF" w:rsidRDefault="00000000" w:rsidP="005661AF">
            <w:pPr>
              <w:widowControl w:val="0"/>
              <w:autoSpaceDE w:val="0"/>
              <w:adjustRightInd w:val="0"/>
              <w:snapToGrid w:val="0"/>
              <w:spacing w:before="0" w:beforeAutospacing="0" w:after="0"/>
            </w:pPr>
            <w:r w:rsidRPr="005661AF">
              <w:t>康菲公司于</w:t>
            </w:r>
            <w:r w:rsidRPr="005661AF">
              <w:t>1917</w:t>
            </w:r>
            <w:r w:rsidRPr="005661AF">
              <w:t>年</w:t>
            </w:r>
            <w:r w:rsidRPr="005661AF">
              <w:t>6</w:t>
            </w:r>
            <w:r w:rsidRPr="005661AF">
              <w:t>月</w:t>
            </w:r>
            <w:r w:rsidRPr="005661AF">
              <w:t>13</w:t>
            </w:r>
            <w:r w:rsidRPr="005661AF">
              <w:t>日在美国</w:t>
            </w:r>
            <w:r w:rsidR="009F381D">
              <w:rPr>
                <w:rFonts w:hint="eastAsia"/>
              </w:rPr>
              <w:t>成</w:t>
            </w:r>
            <w:r w:rsidRPr="005661AF">
              <w:t>立，</w:t>
            </w:r>
            <w:r w:rsidR="0031734A">
              <w:rPr>
                <w:rFonts w:hint="eastAsia"/>
              </w:rPr>
              <w:t>主要从事</w:t>
            </w:r>
            <w:r w:rsidR="0031734A" w:rsidRPr="005661AF">
              <w:t>康菲石油公司</w:t>
            </w:r>
            <w:r w:rsidR="0031734A">
              <w:rPr>
                <w:rFonts w:hint="eastAsia"/>
              </w:rPr>
              <w:t>的运营业务</w:t>
            </w:r>
            <w:r w:rsidRPr="005661AF">
              <w:t>。</w:t>
            </w:r>
          </w:p>
          <w:p w14:paraId="3A888DB6" w14:textId="77777777" w:rsidR="00E603D2" w:rsidRPr="005661AF" w:rsidRDefault="00E603D2" w:rsidP="005661AF">
            <w:pPr>
              <w:widowControl w:val="0"/>
              <w:autoSpaceDE w:val="0"/>
              <w:adjustRightInd w:val="0"/>
              <w:snapToGrid w:val="0"/>
              <w:spacing w:before="0" w:beforeAutospacing="0" w:after="0"/>
            </w:pPr>
          </w:p>
          <w:p w14:paraId="23B16519" w14:textId="65BC0522" w:rsidR="00E603D2" w:rsidRPr="005661AF" w:rsidRDefault="00000000" w:rsidP="005661AF">
            <w:pPr>
              <w:widowControl w:val="0"/>
              <w:autoSpaceDE w:val="0"/>
              <w:adjustRightInd w:val="0"/>
              <w:snapToGrid w:val="0"/>
              <w:spacing w:before="0" w:beforeAutospacing="0" w:after="0"/>
            </w:pPr>
            <w:r w:rsidRPr="005661AF">
              <w:t>康菲公司的最终控制人是康菲石油公司，其在全球范围开展原油、沥青、天然气、液化天然气和天然气凝液的勘探、生产、运输和营销业务。</w:t>
            </w:r>
          </w:p>
        </w:tc>
      </w:tr>
      <w:tr w:rsidR="00E603D2" w:rsidRPr="005661AF" w14:paraId="61D0CB7E" w14:textId="77777777">
        <w:trPr>
          <w:trHeight w:val="279"/>
        </w:trPr>
        <w:tc>
          <w:tcPr>
            <w:tcW w:w="1940" w:type="dxa"/>
            <w:vMerge w:val="restart"/>
            <w:tcBorders>
              <w:top w:val="nil"/>
              <w:left w:val="single" w:sz="4" w:space="0" w:color="auto"/>
              <w:bottom w:val="single" w:sz="4" w:space="0" w:color="auto"/>
              <w:right w:val="single" w:sz="4" w:space="0" w:color="auto"/>
            </w:tcBorders>
            <w:shd w:val="clear" w:color="auto" w:fill="D9D9D9"/>
            <w:vAlign w:val="center"/>
          </w:tcPr>
          <w:p w14:paraId="3B1A4886"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简易案件理由（可以单选，也</w:t>
            </w:r>
            <w:r w:rsidRPr="005661AF">
              <w:rPr>
                <w:rFonts w:cs="Times New Roman"/>
                <w:bCs/>
                <w:color w:val="000000"/>
              </w:rPr>
              <w:lastRenderedPageBreak/>
              <w:t>可以多选）</w:t>
            </w: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7A5D213B"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lang w:val="en-GB"/>
              </w:rPr>
              <w:lastRenderedPageBreak/>
              <w:sym w:font="Wingdings" w:char="00FE"/>
            </w:r>
            <w:r w:rsidRPr="005661AF">
              <w:rPr>
                <w:rFonts w:cs="Times New Roman"/>
                <w:lang w:val="en-GB"/>
              </w:rPr>
              <w:t xml:space="preserve"> </w:t>
            </w:r>
            <w:r w:rsidRPr="005661AF">
              <w:rPr>
                <w:rFonts w:cs="Times New Roman"/>
                <w:bCs/>
                <w:color w:val="000000"/>
              </w:rPr>
              <w:t>1</w:t>
            </w:r>
            <w:r w:rsidRPr="005661AF">
              <w:rPr>
                <w:rFonts w:cs="Times New Roman"/>
                <w:bCs/>
                <w:color w:val="000000"/>
              </w:rPr>
              <w:t>、在同一相关市场，所有参与集中的经营者所占市场份额之和小于</w:t>
            </w:r>
            <w:r w:rsidRPr="005661AF">
              <w:rPr>
                <w:rFonts w:cs="Times New Roman"/>
                <w:bCs/>
                <w:color w:val="000000"/>
              </w:rPr>
              <w:t>15%</w:t>
            </w:r>
            <w:r w:rsidRPr="005661AF">
              <w:rPr>
                <w:rFonts w:cs="Times New Roman"/>
                <w:bCs/>
                <w:color w:val="000000"/>
              </w:rPr>
              <w:t>。</w:t>
            </w:r>
          </w:p>
        </w:tc>
      </w:tr>
      <w:tr w:rsidR="00E603D2" w:rsidRPr="005661AF" w14:paraId="27A1EBF0" w14:textId="77777777">
        <w:trPr>
          <w:trHeight w:val="330"/>
        </w:trPr>
        <w:tc>
          <w:tcPr>
            <w:tcW w:w="1940" w:type="dxa"/>
            <w:vMerge/>
            <w:tcBorders>
              <w:top w:val="nil"/>
              <w:left w:val="single" w:sz="4" w:space="0" w:color="auto"/>
              <w:bottom w:val="single" w:sz="4" w:space="0" w:color="auto"/>
              <w:right w:val="single" w:sz="4" w:space="0" w:color="auto"/>
            </w:tcBorders>
            <w:vAlign w:val="center"/>
          </w:tcPr>
          <w:p w14:paraId="221B92BE" w14:textId="77777777" w:rsidR="00E603D2" w:rsidRPr="005661AF" w:rsidRDefault="00E603D2" w:rsidP="005661AF">
            <w:pPr>
              <w:spacing w:before="0" w:beforeAutospacing="0" w:after="0"/>
              <w:jc w:val="left"/>
              <w:rPr>
                <w:bCs/>
                <w:color w:val="000000"/>
              </w:rPr>
            </w:pP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16D94111"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lang w:val="en-GB"/>
              </w:rPr>
              <w:sym w:font="Wingdings" w:char="F0A8"/>
            </w:r>
            <w:r w:rsidRPr="005661AF">
              <w:rPr>
                <w:rFonts w:cs="Times New Roman"/>
                <w:lang w:val="en-GB"/>
              </w:rPr>
              <w:t xml:space="preserve"> </w:t>
            </w:r>
            <w:r w:rsidRPr="005661AF">
              <w:rPr>
                <w:rFonts w:cs="Times New Roman"/>
                <w:bCs/>
                <w:color w:val="000000"/>
              </w:rPr>
              <w:t>2</w:t>
            </w:r>
            <w:r w:rsidRPr="005661AF">
              <w:rPr>
                <w:rFonts w:cs="Times New Roman"/>
                <w:bCs/>
                <w:color w:val="000000"/>
              </w:rPr>
              <w:t>、存在上下游关系的参与集中的经营者，在上下游市场所占的市场份额均小于</w:t>
            </w:r>
            <w:r w:rsidRPr="005661AF">
              <w:rPr>
                <w:rFonts w:cs="Times New Roman"/>
                <w:bCs/>
                <w:color w:val="000000"/>
              </w:rPr>
              <w:t>25%</w:t>
            </w:r>
            <w:r w:rsidRPr="005661AF">
              <w:rPr>
                <w:rFonts w:cs="Times New Roman"/>
                <w:bCs/>
                <w:color w:val="000000"/>
              </w:rPr>
              <w:t>。</w:t>
            </w:r>
          </w:p>
        </w:tc>
      </w:tr>
      <w:tr w:rsidR="00E603D2" w:rsidRPr="005661AF" w14:paraId="632DEC39" w14:textId="77777777">
        <w:trPr>
          <w:trHeight w:val="285"/>
        </w:trPr>
        <w:tc>
          <w:tcPr>
            <w:tcW w:w="1940" w:type="dxa"/>
            <w:vMerge/>
            <w:tcBorders>
              <w:top w:val="nil"/>
              <w:left w:val="single" w:sz="4" w:space="0" w:color="auto"/>
              <w:bottom w:val="single" w:sz="4" w:space="0" w:color="auto"/>
              <w:right w:val="single" w:sz="4" w:space="0" w:color="auto"/>
            </w:tcBorders>
            <w:vAlign w:val="center"/>
          </w:tcPr>
          <w:p w14:paraId="09E529F6" w14:textId="77777777" w:rsidR="00E603D2" w:rsidRPr="005661AF" w:rsidRDefault="00E603D2" w:rsidP="005661AF">
            <w:pPr>
              <w:spacing w:before="0" w:beforeAutospacing="0" w:after="0"/>
              <w:jc w:val="left"/>
              <w:rPr>
                <w:bCs/>
                <w:color w:val="000000"/>
              </w:rPr>
            </w:pP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378778B1"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lang w:val="en-GB"/>
              </w:rPr>
              <w:sym w:font="Wingdings" w:char="00A8"/>
            </w:r>
            <w:r w:rsidRPr="005661AF">
              <w:rPr>
                <w:rFonts w:cs="Times New Roman"/>
                <w:bCs/>
                <w:color w:val="000000"/>
              </w:rPr>
              <w:t xml:space="preserve"> 3</w:t>
            </w:r>
            <w:r w:rsidRPr="005661AF">
              <w:rPr>
                <w:rFonts w:cs="Times New Roman"/>
                <w:bCs/>
                <w:color w:val="000000"/>
              </w:rPr>
              <w:t>、不在同一相关市场、也不存在上下游关系的参与集中的经营者，在与交易有关的每个市场所占的份额均小于</w:t>
            </w:r>
            <w:r w:rsidRPr="005661AF">
              <w:rPr>
                <w:rFonts w:cs="Times New Roman"/>
                <w:bCs/>
                <w:color w:val="000000"/>
              </w:rPr>
              <w:t>25%</w:t>
            </w:r>
            <w:r w:rsidRPr="005661AF">
              <w:rPr>
                <w:rFonts w:cs="Times New Roman"/>
                <w:bCs/>
                <w:color w:val="000000"/>
              </w:rPr>
              <w:t>。</w:t>
            </w:r>
          </w:p>
        </w:tc>
      </w:tr>
      <w:tr w:rsidR="00E603D2" w:rsidRPr="005661AF" w14:paraId="59356436" w14:textId="77777777">
        <w:trPr>
          <w:trHeight w:val="870"/>
        </w:trPr>
        <w:tc>
          <w:tcPr>
            <w:tcW w:w="1940" w:type="dxa"/>
            <w:vMerge/>
            <w:tcBorders>
              <w:top w:val="nil"/>
              <w:left w:val="single" w:sz="4" w:space="0" w:color="auto"/>
              <w:bottom w:val="single" w:sz="4" w:space="0" w:color="auto"/>
              <w:right w:val="single" w:sz="4" w:space="0" w:color="auto"/>
            </w:tcBorders>
            <w:vAlign w:val="center"/>
          </w:tcPr>
          <w:p w14:paraId="73CC434F" w14:textId="77777777" w:rsidR="00E603D2" w:rsidRPr="005661AF" w:rsidRDefault="00E603D2" w:rsidP="005661AF">
            <w:pPr>
              <w:spacing w:before="0" w:beforeAutospacing="0" w:after="0"/>
              <w:jc w:val="left"/>
              <w:rPr>
                <w:bCs/>
                <w:color w:val="000000"/>
              </w:rPr>
            </w:pP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7E3F3085"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lang w:val="en-GB"/>
              </w:rPr>
              <w:sym w:font="Wingdings" w:char="F0A8"/>
            </w:r>
            <w:r w:rsidRPr="005661AF">
              <w:rPr>
                <w:rFonts w:cs="Times New Roman"/>
                <w:bCs/>
                <w:color w:val="000000"/>
              </w:rPr>
              <w:t xml:space="preserve"> 4</w:t>
            </w:r>
            <w:r w:rsidRPr="005661AF">
              <w:rPr>
                <w:rFonts w:cs="Times New Roman"/>
                <w:bCs/>
                <w:color w:val="000000"/>
              </w:rPr>
              <w:t>、参与集中的经营者在中国境外设立合营企业，合营企业不在中国境内从事经济活动。</w:t>
            </w:r>
          </w:p>
        </w:tc>
      </w:tr>
      <w:tr w:rsidR="00E603D2" w:rsidRPr="005661AF" w14:paraId="529D35A6" w14:textId="77777777">
        <w:trPr>
          <w:trHeight w:val="264"/>
        </w:trPr>
        <w:tc>
          <w:tcPr>
            <w:tcW w:w="1940" w:type="dxa"/>
            <w:vMerge/>
            <w:tcBorders>
              <w:top w:val="nil"/>
              <w:left w:val="single" w:sz="4" w:space="0" w:color="auto"/>
              <w:bottom w:val="single" w:sz="4" w:space="0" w:color="auto"/>
              <w:right w:val="single" w:sz="4" w:space="0" w:color="auto"/>
            </w:tcBorders>
            <w:vAlign w:val="center"/>
          </w:tcPr>
          <w:p w14:paraId="70525C3B" w14:textId="77777777" w:rsidR="00E603D2" w:rsidRPr="005661AF" w:rsidRDefault="00E603D2" w:rsidP="005661AF">
            <w:pPr>
              <w:spacing w:before="0" w:beforeAutospacing="0" w:after="0"/>
              <w:jc w:val="left"/>
              <w:rPr>
                <w:bCs/>
                <w:color w:val="000000"/>
              </w:rPr>
            </w:pP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22A943DD"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lang w:val="en-GB"/>
              </w:rPr>
              <w:sym w:font="Wingdings" w:char="F0A8"/>
            </w:r>
            <w:r w:rsidRPr="005661AF">
              <w:rPr>
                <w:rFonts w:cs="Times New Roman"/>
                <w:bCs/>
                <w:color w:val="000000"/>
              </w:rPr>
              <w:t xml:space="preserve"> 5</w:t>
            </w:r>
            <w:r w:rsidRPr="005661AF">
              <w:rPr>
                <w:rFonts w:cs="Times New Roman"/>
                <w:bCs/>
                <w:color w:val="000000"/>
              </w:rPr>
              <w:t>、参与集中的经营者收购境外企业股权或资产的，该境外企业不在中国境内从事经济活动。</w:t>
            </w:r>
          </w:p>
        </w:tc>
      </w:tr>
      <w:tr w:rsidR="00E603D2" w:rsidRPr="005661AF" w14:paraId="2F16425C" w14:textId="77777777">
        <w:trPr>
          <w:trHeight w:val="345"/>
        </w:trPr>
        <w:tc>
          <w:tcPr>
            <w:tcW w:w="1940" w:type="dxa"/>
            <w:vMerge/>
            <w:tcBorders>
              <w:top w:val="nil"/>
              <w:left w:val="single" w:sz="4" w:space="0" w:color="auto"/>
              <w:bottom w:val="single" w:sz="4" w:space="0" w:color="auto"/>
              <w:right w:val="single" w:sz="4" w:space="0" w:color="auto"/>
            </w:tcBorders>
            <w:vAlign w:val="center"/>
          </w:tcPr>
          <w:p w14:paraId="741FFC44" w14:textId="77777777" w:rsidR="00E603D2" w:rsidRPr="005661AF" w:rsidRDefault="00E603D2" w:rsidP="005661AF">
            <w:pPr>
              <w:spacing w:before="0" w:beforeAutospacing="0" w:after="0"/>
              <w:jc w:val="left"/>
              <w:rPr>
                <w:bCs/>
                <w:color w:val="000000"/>
              </w:rPr>
            </w:pP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0A1DAA2D"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lang w:val="en-GB"/>
              </w:rPr>
              <w:sym w:font="Wingdings" w:char="F0A8"/>
            </w:r>
            <w:r w:rsidRPr="005661AF">
              <w:rPr>
                <w:rFonts w:cs="Times New Roman"/>
                <w:bCs/>
                <w:color w:val="000000"/>
              </w:rPr>
              <w:t xml:space="preserve"> 6</w:t>
            </w:r>
            <w:r w:rsidRPr="005661AF">
              <w:rPr>
                <w:rFonts w:cs="Times New Roman"/>
                <w:bCs/>
                <w:color w:val="000000"/>
              </w:rPr>
              <w:t>、由两个以上的经营者共同控制的合营企业，通过集中被其中一个或一个以上经营者控制。</w:t>
            </w:r>
          </w:p>
        </w:tc>
      </w:tr>
      <w:tr w:rsidR="00E603D2" w:rsidRPr="005661AF" w14:paraId="33D9892D" w14:textId="77777777">
        <w:trPr>
          <w:trHeight w:val="1250"/>
        </w:trPr>
        <w:tc>
          <w:tcPr>
            <w:tcW w:w="1940" w:type="dxa"/>
            <w:tcBorders>
              <w:top w:val="single" w:sz="4" w:space="0" w:color="auto"/>
              <w:left w:val="single" w:sz="4" w:space="0" w:color="auto"/>
              <w:bottom w:val="single" w:sz="4" w:space="0" w:color="auto"/>
              <w:right w:val="single" w:sz="4" w:space="0" w:color="auto"/>
            </w:tcBorders>
            <w:shd w:val="clear" w:color="auto" w:fill="D9D9D9"/>
            <w:vAlign w:val="center"/>
          </w:tcPr>
          <w:p w14:paraId="03FC9E3D" w14:textId="77777777"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备注</w:t>
            </w:r>
          </w:p>
        </w:tc>
        <w:tc>
          <w:tcPr>
            <w:tcW w:w="7162" w:type="dxa"/>
            <w:gridSpan w:val="2"/>
            <w:tcBorders>
              <w:top w:val="single" w:sz="4" w:space="0" w:color="auto"/>
              <w:left w:val="single" w:sz="4" w:space="0" w:color="auto"/>
              <w:bottom w:val="single" w:sz="4" w:space="0" w:color="auto"/>
              <w:right w:val="single" w:sz="4" w:space="0" w:color="auto"/>
            </w:tcBorders>
            <w:vAlign w:val="center"/>
          </w:tcPr>
          <w:p w14:paraId="0D4F4355" w14:textId="77777777" w:rsidR="00E603D2" w:rsidRPr="00CC3C20" w:rsidRDefault="00000000" w:rsidP="005661AF">
            <w:pPr>
              <w:pStyle w:val="a5"/>
              <w:widowControl w:val="0"/>
              <w:autoSpaceDE w:val="0"/>
              <w:adjustRightInd w:val="0"/>
              <w:snapToGrid w:val="0"/>
              <w:spacing w:before="0" w:beforeAutospacing="0" w:after="0"/>
              <w:rPr>
                <w:rFonts w:cs="Times New Roman"/>
                <w:b/>
                <w:color w:val="000000"/>
              </w:rPr>
            </w:pPr>
            <w:r w:rsidRPr="00CC3C20">
              <w:rPr>
                <w:rFonts w:cs="Times New Roman" w:hint="eastAsia"/>
                <w:b/>
                <w:color w:val="000000"/>
              </w:rPr>
              <w:t>横向重叠：</w:t>
            </w:r>
          </w:p>
          <w:p w14:paraId="3211B88C" w14:textId="5D3A4FE9" w:rsidR="00E603D2" w:rsidRPr="005661AF" w:rsidRDefault="00586E0B" w:rsidP="005661AF">
            <w:pPr>
              <w:pStyle w:val="a5"/>
              <w:widowControl w:val="0"/>
              <w:autoSpaceDE w:val="0"/>
              <w:adjustRightInd w:val="0"/>
              <w:snapToGrid w:val="0"/>
              <w:spacing w:before="0" w:beforeAutospacing="0" w:after="0"/>
              <w:rPr>
                <w:rFonts w:cs="Times New Roman"/>
                <w:bCs/>
                <w:color w:val="000000"/>
              </w:rPr>
            </w:pPr>
            <w:r>
              <w:rPr>
                <w:rFonts w:cs="Times New Roman" w:hint="eastAsia"/>
                <w:bCs/>
                <w:color w:val="000000"/>
              </w:rPr>
              <w:t>2</w:t>
            </w:r>
            <w:r>
              <w:rPr>
                <w:rFonts w:cs="Times New Roman"/>
                <w:bCs/>
                <w:color w:val="000000"/>
              </w:rPr>
              <w:t>022</w:t>
            </w:r>
            <w:r>
              <w:rPr>
                <w:rFonts w:cs="Times New Roman" w:hint="eastAsia"/>
                <w:bCs/>
                <w:color w:val="000000"/>
              </w:rPr>
              <w:t>年</w:t>
            </w:r>
            <w:r w:rsidRPr="005661AF">
              <w:rPr>
                <w:rFonts w:cs="Times New Roman"/>
                <w:bCs/>
                <w:color w:val="000000"/>
              </w:rPr>
              <w:t>全球液化天然气供应市场</w:t>
            </w:r>
            <w:r>
              <w:rPr>
                <w:rFonts w:cs="Times New Roman" w:hint="eastAsia"/>
                <w:bCs/>
                <w:color w:val="000000"/>
              </w:rPr>
              <w:t>：</w:t>
            </w:r>
          </w:p>
          <w:p w14:paraId="272195E0" w14:textId="46ED7B48"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桑普拉基础设施合伙人：</w:t>
            </w:r>
            <w:r w:rsidRPr="005661AF">
              <w:rPr>
                <w:rFonts w:cs="Times New Roman"/>
                <w:bCs/>
                <w:color w:val="000000"/>
              </w:rPr>
              <w:t>0-5%</w:t>
            </w:r>
            <w:r w:rsidR="00586E0B">
              <w:rPr>
                <w:rFonts w:cs="Times New Roman" w:hint="eastAsia"/>
                <w:bCs/>
                <w:color w:val="000000"/>
              </w:rPr>
              <w:t>，</w:t>
            </w:r>
            <w:r w:rsidR="0031734A" w:rsidRPr="005661AF">
              <w:rPr>
                <w:rFonts w:cs="Times New Roman"/>
                <w:bCs/>
                <w:color w:val="000000"/>
              </w:rPr>
              <w:t>亚瑟港液化控股</w:t>
            </w:r>
            <w:r w:rsidR="0031734A">
              <w:rPr>
                <w:rFonts w:cs="Times New Roman" w:hint="eastAsia"/>
                <w:bCs/>
                <w:color w:val="000000"/>
              </w:rPr>
              <w:t>（预估）：</w:t>
            </w:r>
            <w:r w:rsidR="0031734A">
              <w:rPr>
                <w:rFonts w:cs="Times New Roman" w:hint="eastAsia"/>
                <w:bCs/>
                <w:color w:val="000000"/>
              </w:rPr>
              <w:t>0</w:t>
            </w:r>
            <w:r w:rsidR="0031734A">
              <w:rPr>
                <w:rFonts w:cs="Times New Roman"/>
                <w:bCs/>
                <w:color w:val="000000"/>
              </w:rPr>
              <w:t>-5%</w:t>
            </w:r>
            <w:r w:rsidR="0031734A">
              <w:rPr>
                <w:rFonts w:cs="Times New Roman" w:hint="eastAsia"/>
                <w:bCs/>
                <w:color w:val="000000"/>
              </w:rPr>
              <w:t>，</w:t>
            </w:r>
            <w:r w:rsidRPr="005661AF">
              <w:rPr>
                <w:rFonts w:cs="Times New Roman"/>
                <w:bCs/>
                <w:color w:val="000000"/>
              </w:rPr>
              <w:t>康菲公司：</w:t>
            </w:r>
            <w:r w:rsidRPr="005661AF">
              <w:rPr>
                <w:rFonts w:cs="Times New Roman"/>
                <w:bCs/>
                <w:color w:val="000000"/>
              </w:rPr>
              <w:t>0-5%</w:t>
            </w:r>
            <w:r w:rsidR="00586E0B">
              <w:rPr>
                <w:rFonts w:cs="Times New Roman" w:hint="eastAsia"/>
                <w:bCs/>
                <w:color w:val="000000"/>
              </w:rPr>
              <w:t>，各方</w:t>
            </w:r>
            <w:r w:rsidRPr="005661AF">
              <w:rPr>
                <w:rFonts w:cs="Times New Roman"/>
                <w:bCs/>
                <w:color w:val="000000"/>
              </w:rPr>
              <w:t>合计：</w:t>
            </w:r>
            <w:r w:rsidRPr="005661AF">
              <w:rPr>
                <w:rFonts w:cs="Times New Roman"/>
                <w:bCs/>
                <w:color w:val="000000"/>
              </w:rPr>
              <w:t>0-5%</w:t>
            </w:r>
          </w:p>
          <w:p w14:paraId="4E7F68C6" w14:textId="77777777" w:rsidR="00E603D2" w:rsidRPr="005661AF" w:rsidRDefault="00E603D2" w:rsidP="005661AF">
            <w:pPr>
              <w:pStyle w:val="a5"/>
              <w:widowControl w:val="0"/>
              <w:autoSpaceDE w:val="0"/>
              <w:adjustRightInd w:val="0"/>
              <w:snapToGrid w:val="0"/>
              <w:spacing w:before="0" w:beforeAutospacing="0" w:after="0"/>
              <w:rPr>
                <w:rFonts w:cs="Times New Roman"/>
                <w:bCs/>
                <w:color w:val="000000"/>
              </w:rPr>
            </w:pPr>
          </w:p>
          <w:p w14:paraId="08E348D4" w14:textId="048F124C" w:rsidR="00E603D2" w:rsidRPr="005661AF" w:rsidRDefault="00586E0B" w:rsidP="005661AF">
            <w:pPr>
              <w:pStyle w:val="a5"/>
              <w:widowControl w:val="0"/>
              <w:autoSpaceDE w:val="0"/>
              <w:adjustRightInd w:val="0"/>
              <w:snapToGrid w:val="0"/>
              <w:spacing w:before="0" w:beforeAutospacing="0" w:after="0"/>
              <w:rPr>
                <w:rFonts w:cs="Times New Roman"/>
                <w:bCs/>
                <w:color w:val="000000"/>
              </w:rPr>
            </w:pPr>
            <w:r>
              <w:rPr>
                <w:rFonts w:cs="Times New Roman" w:hint="eastAsia"/>
                <w:bCs/>
                <w:color w:val="000000"/>
              </w:rPr>
              <w:t>2</w:t>
            </w:r>
            <w:r>
              <w:rPr>
                <w:rFonts w:cs="Times New Roman"/>
                <w:bCs/>
                <w:color w:val="000000"/>
              </w:rPr>
              <w:t>022</w:t>
            </w:r>
            <w:r>
              <w:rPr>
                <w:rFonts w:cs="Times New Roman" w:hint="eastAsia"/>
                <w:bCs/>
                <w:color w:val="000000"/>
              </w:rPr>
              <w:t>年</w:t>
            </w:r>
            <w:r w:rsidRPr="005661AF">
              <w:rPr>
                <w:rFonts w:cs="Times New Roman"/>
                <w:bCs/>
                <w:color w:val="000000"/>
              </w:rPr>
              <w:t>中国境内液化天然气供应市场</w:t>
            </w:r>
            <w:r>
              <w:rPr>
                <w:rFonts w:cs="Times New Roman" w:hint="eastAsia"/>
                <w:bCs/>
                <w:color w:val="000000"/>
              </w:rPr>
              <w:t>：</w:t>
            </w:r>
          </w:p>
          <w:p w14:paraId="1311FB11" w14:textId="2F2FBEB5" w:rsidR="00E603D2" w:rsidRPr="005661AF" w:rsidRDefault="00000000" w:rsidP="005661AF">
            <w:pPr>
              <w:pStyle w:val="a5"/>
              <w:widowControl w:val="0"/>
              <w:autoSpaceDE w:val="0"/>
              <w:adjustRightInd w:val="0"/>
              <w:snapToGrid w:val="0"/>
              <w:spacing w:before="0" w:beforeAutospacing="0" w:after="0"/>
              <w:rPr>
                <w:rFonts w:cs="Times New Roman"/>
                <w:bCs/>
                <w:color w:val="000000"/>
              </w:rPr>
            </w:pPr>
            <w:r w:rsidRPr="005661AF">
              <w:rPr>
                <w:rFonts w:cs="Times New Roman"/>
                <w:bCs/>
                <w:color w:val="000000"/>
              </w:rPr>
              <w:t>桑普拉基础设施合伙人：</w:t>
            </w:r>
            <w:r w:rsidRPr="005661AF">
              <w:rPr>
                <w:rFonts w:cs="Times New Roman"/>
                <w:bCs/>
                <w:color w:val="000000"/>
              </w:rPr>
              <w:t>0-5%</w:t>
            </w:r>
            <w:r w:rsidR="00586E0B">
              <w:rPr>
                <w:rFonts w:cs="Times New Roman" w:hint="eastAsia"/>
                <w:bCs/>
                <w:color w:val="000000"/>
              </w:rPr>
              <w:t>，</w:t>
            </w:r>
            <w:r w:rsidR="0031734A" w:rsidRPr="005661AF">
              <w:rPr>
                <w:rFonts w:cs="Times New Roman"/>
                <w:bCs/>
                <w:color w:val="000000"/>
              </w:rPr>
              <w:t>亚瑟港液化控股</w:t>
            </w:r>
            <w:r w:rsidR="0031734A">
              <w:rPr>
                <w:rFonts w:cs="Times New Roman" w:hint="eastAsia"/>
                <w:bCs/>
                <w:color w:val="000000"/>
              </w:rPr>
              <w:t>（预估）：</w:t>
            </w:r>
            <w:r w:rsidR="0031734A">
              <w:rPr>
                <w:rFonts w:cs="Times New Roman" w:hint="eastAsia"/>
                <w:bCs/>
                <w:color w:val="000000"/>
              </w:rPr>
              <w:t>0</w:t>
            </w:r>
            <w:r w:rsidR="0031734A">
              <w:rPr>
                <w:rFonts w:cs="Times New Roman"/>
                <w:bCs/>
                <w:color w:val="000000"/>
              </w:rPr>
              <w:t>-5%</w:t>
            </w:r>
            <w:r w:rsidR="0031734A">
              <w:rPr>
                <w:rFonts w:cs="Times New Roman" w:hint="eastAsia"/>
                <w:bCs/>
                <w:color w:val="000000"/>
              </w:rPr>
              <w:t>，</w:t>
            </w:r>
            <w:r w:rsidRPr="005661AF">
              <w:rPr>
                <w:rFonts w:cs="Times New Roman"/>
                <w:bCs/>
                <w:color w:val="000000"/>
              </w:rPr>
              <w:t>康菲公司：</w:t>
            </w:r>
            <w:r w:rsidRPr="005661AF">
              <w:rPr>
                <w:rFonts w:cs="Times New Roman"/>
                <w:bCs/>
                <w:color w:val="000000"/>
              </w:rPr>
              <w:t>0-5%</w:t>
            </w:r>
            <w:r w:rsidR="00586E0B">
              <w:rPr>
                <w:rFonts w:cs="Times New Roman" w:hint="eastAsia"/>
                <w:bCs/>
                <w:color w:val="000000"/>
              </w:rPr>
              <w:t>，各方</w:t>
            </w:r>
            <w:r w:rsidRPr="005661AF">
              <w:rPr>
                <w:rFonts w:cs="Times New Roman"/>
                <w:bCs/>
                <w:color w:val="000000"/>
              </w:rPr>
              <w:t>合计：</w:t>
            </w:r>
            <w:r w:rsidRPr="005661AF">
              <w:rPr>
                <w:rFonts w:cs="Times New Roman"/>
              </w:rPr>
              <w:t>0-5%</w:t>
            </w:r>
          </w:p>
        </w:tc>
      </w:tr>
    </w:tbl>
    <w:p w14:paraId="3B70608F" w14:textId="77777777" w:rsidR="00E603D2" w:rsidRPr="0031734A" w:rsidRDefault="00E603D2" w:rsidP="00CC3C20">
      <w:pPr>
        <w:spacing w:before="0" w:beforeAutospacing="0" w:after="0"/>
      </w:pPr>
    </w:p>
    <w:sectPr w:rsidR="00E603D2" w:rsidRPr="0031734A">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E53D2" w14:textId="77777777" w:rsidR="0031440C" w:rsidRDefault="0031440C">
      <w:pPr>
        <w:spacing w:before="0" w:after="0"/>
      </w:pPr>
      <w:r>
        <w:separator/>
      </w:r>
    </w:p>
  </w:endnote>
  <w:endnote w:type="continuationSeparator" w:id="0">
    <w:p w14:paraId="6BF4CC81" w14:textId="77777777" w:rsidR="0031440C" w:rsidRDefault="0031440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Simplified Arabic">
    <w:panose1 w:val="02020603050405020304"/>
    <w:charset w:val="B2"/>
    <w:family w:val="roman"/>
    <w:pitch w:val="variable"/>
    <w:sig w:usb0="00002003" w:usb1="80000000" w:usb2="00000008" w:usb3="00000000" w:csb0="0000004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1B401" w14:textId="77777777" w:rsidR="0031440C" w:rsidRDefault="0031440C">
      <w:pPr>
        <w:spacing w:before="0" w:after="0"/>
      </w:pPr>
      <w:r>
        <w:separator/>
      </w:r>
    </w:p>
  </w:footnote>
  <w:footnote w:type="continuationSeparator" w:id="0">
    <w:p w14:paraId="1ECFC2EE" w14:textId="77777777" w:rsidR="0031440C" w:rsidRDefault="0031440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DEBC5" w14:textId="076DA09B" w:rsidR="00E22132" w:rsidRPr="005661AF" w:rsidRDefault="00E22132" w:rsidP="005661AF">
    <w:pPr>
      <w:jc w:val="right"/>
      <w:rPr>
        <w:i/>
        <w:iCs/>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bordersDoNotSurroundHeader/>
  <w:bordersDoNotSurroundFooter/>
  <w:hideSpellingErrors/>
  <w:hideGrammaticalErrors/>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IwMbIwsDQ2MjIyNjZR0lEKTi0uzszPAykwrAUA/XItfSwAAAA="/>
    <w:docVar w:name="commondata" w:val="eyJoZGlkIjoiNDk1N2YxNmQ3OTQwMjZiZTlkMGE3OTlmNDFjMTI0OTcifQ=="/>
  </w:docVars>
  <w:rsids>
    <w:rsidRoot w:val="00946093"/>
    <w:rsid w:val="00007DCB"/>
    <w:rsid w:val="00013540"/>
    <w:rsid w:val="00040BE4"/>
    <w:rsid w:val="000779D4"/>
    <w:rsid w:val="00093112"/>
    <w:rsid w:val="000F622D"/>
    <w:rsid w:val="00140AC1"/>
    <w:rsid w:val="00156A84"/>
    <w:rsid w:val="00172130"/>
    <w:rsid w:val="00174F1D"/>
    <w:rsid w:val="001779EF"/>
    <w:rsid w:val="00185356"/>
    <w:rsid w:val="001C2F2F"/>
    <w:rsid w:val="001F1174"/>
    <w:rsid w:val="0020203F"/>
    <w:rsid w:val="00224815"/>
    <w:rsid w:val="0022508D"/>
    <w:rsid w:val="00243F0A"/>
    <w:rsid w:val="00266140"/>
    <w:rsid w:val="0027426D"/>
    <w:rsid w:val="002765E0"/>
    <w:rsid w:val="0027683C"/>
    <w:rsid w:val="002B2834"/>
    <w:rsid w:val="002B7D10"/>
    <w:rsid w:val="002D2F0B"/>
    <w:rsid w:val="002F2EB7"/>
    <w:rsid w:val="00310937"/>
    <w:rsid w:val="0031440C"/>
    <w:rsid w:val="0031734A"/>
    <w:rsid w:val="00323DA9"/>
    <w:rsid w:val="0033132B"/>
    <w:rsid w:val="00350E5D"/>
    <w:rsid w:val="00382857"/>
    <w:rsid w:val="003838DE"/>
    <w:rsid w:val="003A7638"/>
    <w:rsid w:val="003C54A5"/>
    <w:rsid w:val="003D1ECC"/>
    <w:rsid w:val="003E325E"/>
    <w:rsid w:val="003F39DE"/>
    <w:rsid w:val="00400304"/>
    <w:rsid w:val="00400DE3"/>
    <w:rsid w:val="004138AE"/>
    <w:rsid w:val="0043165B"/>
    <w:rsid w:val="00440639"/>
    <w:rsid w:val="004475E3"/>
    <w:rsid w:val="00476557"/>
    <w:rsid w:val="004778F0"/>
    <w:rsid w:val="004A1DAF"/>
    <w:rsid w:val="004B2473"/>
    <w:rsid w:val="004B50D9"/>
    <w:rsid w:val="004C620D"/>
    <w:rsid w:val="004E0DA3"/>
    <w:rsid w:val="004F3639"/>
    <w:rsid w:val="00561996"/>
    <w:rsid w:val="005661AF"/>
    <w:rsid w:val="00586E0B"/>
    <w:rsid w:val="005E7CC0"/>
    <w:rsid w:val="006021E5"/>
    <w:rsid w:val="00634F0C"/>
    <w:rsid w:val="006523CF"/>
    <w:rsid w:val="00652FAB"/>
    <w:rsid w:val="006553DD"/>
    <w:rsid w:val="00676B35"/>
    <w:rsid w:val="00694E32"/>
    <w:rsid w:val="006C75F4"/>
    <w:rsid w:val="006D0970"/>
    <w:rsid w:val="006D50B0"/>
    <w:rsid w:val="006E582C"/>
    <w:rsid w:val="006E618C"/>
    <w:rsid w:val="007119B5"/>
    <w:rsid w:val="007210C6"/>
    <w:rsid w:val="0077069A"/>
    <w:rsid w:val="00774ACA"/>
    <w:rsid w:val="00777309"/>
    <w:rsid w:val="00786B32"/>
    <w:rsid w:val="007918C4"/>
    <w:rsid w:val="007A5633"/>
    <w:rsid w:val="007B1EB0"/>
    <w:rsid w:val="007B5F23"/>
    <w:rsid w:val="007C1489"/>
    <w:rsid w:val="007C1899"/>
    <w:rsid w:val="007C6C97"/>
    <w:rsid w:val="007D0852"/>
    <w:rsid w:val="008011B6"/>
    <w:rsid w:val="00801FEC"/>
    <w:rsid w:val="008346D5"/>
    <w:rsid w:val="00851257"/>
    <w:rsid w:val="00852CC5"/>
    <w:rsid w:val="008749C7"/>
    <w:rsid w:val="0089292A"/>
    <w:rsid w:val="008D593A"/>
    <w:rsid w:val="008F42A0"/>
    <w:rsid w:val="008F57B9"/>
    <w:rsid w:val="008F7227"/>
    <w:rsid w:val="009307E3"/>
    <w:rsid w:val="00931EFD"/>
    <w:rsid w:val="00946093"/>
    <w:rsid w:val="009D2094"/>
    <w:rsid w:val="009F381D"/>
    <w:rsid w:val="00A143E0"/>
    <w:rsid w:val="00A1793A"/>
    <w:rsid w:val="00A41374"/>
    <w:rsid w:val="00A83463"/>
    <w:rsid w:val="00A911C8"/>
    <w:rsid w:val="00AA2828"/>
    <w:rsid w:val="00AD2C01"/>
    <w:rsid w:val="00AE1160"/>
    <w:rsid w:val="00B33A04"/>
    <w:rsid w:val="00B6597C"/>
    <w:rsid w:val="00B8318D"/>
    <w:rsid w:val="00B86150"/>
    <w:rsid w:val="00BC1827"/>
    <w:rsid w:val="00BD4DBA"/>
    <w:rsid w:val="00BD7FA0"/>
    <w:rsid w:val="00BE6D9A"/>
    <w:rsid w:val="00C1039A"/>
    <w:rsid w:val="00C5548B"/>
    <w:rsid w:val="00C939CC"/>
    <w:rsid w:val="00C94806"/>
    <w:rsid w:val="00CC3C20"/>
    <w:rsid w:val="00CC7C23"/>
    <w:rsid w:val="00CD5518"/>
    <w:rsid w:val="00CD7692"/>
    <w:rsid w:val="00D03B4A"/>
    <w:rsid w:val="00D07683"/>
    <w:rsid w:val="00D10D0F"/>
    <w:rsid w:val="00D264AD"/>
    <w:rsid w:val="00D44B57"/>
    <w:rsid w:val="00D45A28"/>
    <w:rsid w:val="00D540AB"/>
    <w:rsid w:val="00D6605C"/>
    <w:rsid w:val="00D72087"/>
    <w:rsid w:val="00D90CC9"/>
    <w:rsid w:val="00DC3DF8"/>
    <w:rsid w:val="00DD0AE5"/>
    <w:rsid w:val="00DF301E"/>
    <w:rsid w:val="00E0602B"/>
    <w:rsid w:val="00E07228"/>
    <w:rsid w:val="00E15327"/>
    <w:rsid w:val="00E15671"/>
    <w:rsid w:val="00E22132"/>
    <w:rsid w:val="00E2436F"/>
    <w:rsid w:val="00E33EAB"/>
    <w:rsid w:val="00E53585"/>
    <w:rsid w:val="00E603D2"/>
    <w:rsid w:val="00EB1C39"/>
    <w:rsid w:val="00EC71ED"/>
    <w:rsid w:val="00EE1A8F"/>
    <w:rsid w:val="00EF7699"/>
    <w:rsid w:val="00F13D45"/>
    <w:rsid w:val="00F2631B"/>
    <w:rsid w:val="00F40DC2"/>
    <w:rsid w:val="00F51F8E"/>
    <w:rsid w:val="00F951D5"/>
    <w:rsid w:val="00FD69E4"/>
    <w:rsid w:val="00FE2615"/>
    <w:rsid w:val="0FFB5EFB"/>
    <w:rsid w:val="28C975BA"/>
    <w:rsid w:val="2DB858CD"/>
    <w:rsid w:val="31A72674"/>
    <w:rsid w:val="36992099"/>
    <w:rsid w:val="3B1C7C2F"/>
    <w:rsid w:val="60DC55E7"/>
    <w:rsid w:val="6AF72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26691"/>
  <w15:docId w15:val="{7DAA93F9-C3F9-4A5B-A036-8407EBD94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00" w:beforeAutospacing="1" w:after="240"/>
      <w:jc w:val="both"/>
    </w:pPr>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before="0" w:beforeAutospacing="0" w:after="0"/>
      <w:jc w:val="left"/>
    </w:pPr>
    <w:rPr>
      <w:rFonts w:ascii="PMingLiU" w:eastAsia="PMingLiU" w:hAnsi="PMingLiU" w:cs="PMingLiU"/>
      <w:sz w:val="20"/>
      <w:szCs w:val="20"/>
      <w:lang w:eastAsia="zh-TW"/>
    </w:rPr>
  </w:style>
  <w:style w:type="paragraph" w:styleId="a5">
    <w:name w:val="Body Text"/>
    <w:basedOn w:val="a"/>
    <w:link w:val="a6"/>
    <w:uiPriority w:val="99"/>
    <w:unhideWhenUsed/>
    <w:qFormat/>
    <w:rPr>
      <w:rFonts w:cs="Simplified Arabic"/>
    </w:rPr>
  </w:style>
  <w:style w:type="paragraph" w:styleId="a7">
    <w:name w:val="Balloon Text"/>
    <w:basedOn w:val="a"/>
    <w:link w:val="a8"/>
    <w:uiPriority w:val="99"/>
    <w:semiHidden/>
    <w:unhideWhenUsed/>
    <w:qFormat/>
    <w:pPr>
      <w:spacing w:before="0" w:after="0"/>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qFormat/>
    <w:pPr>
      <w:spacing w:before="100" w:beforeAutospacing="1" w:after="240"/>
    </w:pPr>
    <w:rPr>
      <w:rFonts w:ascii="Times New Roman" w:eastAsia="宋体" w:hAnsi="Times New Roman" w:cs="Times New Roman"/>
      <w:b/>
      <w:bCs/>
      <w:sz w:val="24"/>
      <w:szCs w:val="24"/>
      <w:lang w:eastAsia="zh-CN"/>
    </w:rPr>
  </w:style>
  <w:style w:type="character" w:styleId="af">
    <w:name w:val="Hyperlink"/>
    <w:basedOn w:val="a0"/>
    <w:uiPriority w:val="99"/>
    <w:unhideWhenUsed/>
    <w:qFormat/>
    <w:rPr>
      <w:color w:val="0563C1" w:themeColor="hyperlink"/>
      <w:u w:val="single"/>
    </w:rPr>
  </w:style>
  <w:style w:type="character" w:styleId="af0">
    <w:name w:val="annotation reference"/>
    <w:uiPriority w:val="99"/>
    <w:qFormat/>
    <w:rPr>
      <w:sz w:val="16"/>
    </w:rPr>
  </w:style>
  <w:style w:type="character" w:customStyle="1" w:styleId="a6">
    <w:name w:val="正文文本 字符"/>
    <w:basedOn w:val="a0"/>
    <w:link w:val="a5"/>
    <w:uiPriority w:val="99"/>
    <w:qFormat/>
    <w:rPr>
      <w:rFonts w:ascii="Times New Roman" w:eastAsia="宋体" w:hAnsi="Times New Roman" w:cs="Simplified Arabic"/>
      <w:sz w:val="24"/>
      <w:szCs w:val="24"/>
    </w:rPr>
  </w:style>
  <w:style w:type="paragraph" w:customStyle="1" w:styleId="1">
    <w:name w:val="修订1"/>
    <w:hidden/>
    <w:uiPriority w:val="99"/>
    <w:semiHidden/>
    <w:qFormat/>
    <w:rPr>
      <w:rFonts w:ascii="Times New Roman" w:eastAsia="宋体" w:hAnsi="Times New Roman" w:cs="Times New Roman"/>
      <w:sz w:val="24"/>
      <w:szCs w:val="24"/>
    </w:rPr>
  </w:style>
  <w:style w:type="character" w:customStyle="1" w:styleId="ac">
    <w:name w:val="页眉 字符"/>
    <w:basedOn w:val="a0"/>
    <w:link w:val="ab"/>
    <w:uiPriority w:val="99"/>
    <w:qFormat/>
    <w:rPr>
      <w:rFonts w:ascii="Times New Roman" w:eastAsia="宋体" w:hAnsi="Times New Roman" w:cs="Times New Roman"/>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character" w:customStyle="1" w:styleId="a4">
    <w:name w:val="批注文字 字符"/>
    <w:basedOn w:val="a0"/>
    <w:link w:val="a3"/>
    <w:qFormat/>
    <w:rPr>
      <w:rFonts w:ascii="PMingLiU" w:eastAsia="PMingLiU" w:hAnsi="PMingLiU" w:cs="PMingLiU"/>
      <w:kern w:val="0"/>
      <w:sz w:val="20"/>
      <w:szCs w:val="20"/>
      <w:lang w:eastAsia="zh-TW"/>
    </w:rPr>
  </w:style>
  <w:style w:type="character" w:customStyle="1" w:styleId="ae">
    <w:name w:val="批注主题 字符"/>
    <w:basedOn w:val="a4"/>
    <w:link w:val="ad"/>
    <w:uiPriority w:val="99"/>
    <w:semiHidden/>
    <w:qFormat/>
    <w:rPr>
      <w:rFonts w:ascii="Times New Roman" w:eastAsia="宋体" w:hAnsi="Times New Roman" w:cs="Times New Roman"/>
      <w:b/>
      <w:bCs/>
      <w:kern w:val="0"/>
      <w:sz w:val="24"/>
      <w:szCs w:val="24"/>
      <w:lang w:eastAsia="zh-TW"/>
    </w:rPr>
  </w:style>
  <w:style w:type="character" w:customStyle="1" w:styleId="10">
    <w:name w:val="未处理的提及1"/>
    <w:basedOn w:val="a0"/>
    <w:uiPriority w:val="99"/>
    <w:semiHidden/>
    <w:unhideWhenUsed/>
    <w:qFormat/>
    <w:rPr>
      <w:color w:val="605E5C"/>
      <w:shd w:val="clear" w:color="auto" w:fill="E1DFDD"/>
    </w:rPr>
  </w:style>
  <w:style w:type="paragraph" w:customStyle="1" w:styleId="2">
    <w:name w:val="修订2"/>
    <w:hidden/>
    <w:uiPriority w:val="99"/>
    <w:unhideWhenUsed/>
    <w:qFormat/>
    <w:rPr>
      <w:rFonts w:ascii="Times New Roman" w:eastAsia="宋体" w:hAnsi="Times New Roman" w:cs="Times New Roman"/>
      <w:sz w:val="24"/>
      <w:szCs w:val="24"/>
    </w:rPr>
  </w:style>
  <w:style w:type="character" w:customStyle="1" w:styleId="20">
    <w:name w:val="未处理的提及2"/>
    <w:basedOn w:val="a0"/>
    <w:uiPriority w:val="99"/>
    <w:semiHidden/>
    <w:unhideWhenUsed/>
    <w:qFormat/>
    <w:rPr>
      <w:color w:val="605E5C"/>
      <w:shd w:val="clear" w:color="auto" w:fill="E1DFDD"/>
    </w:rPr>
  </w:style>
  <w:style w:type="paragraph" w:styleId="af1">
    <w:name w:val="Revision"/>
    <w:hidden/>
    <w:uiPriority w:val="99"/>
    <w:unhideWhenUsed/>
    <w:rsid w:val="00E22132"/>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946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Sunland</dc:creator>
  <cp:lastModifiedBy>Sunland</cp:lastModifiedBy>
  <cp:revision>6</cp:revision>
  <dcterms:created xsi:type="dcterms:W3CDTF">2023-07-31T02:10:00Z</dcterms:created>
  <dcterms:modified xsi:type="dcterms:W3CDTF">2023-07-31T02:14:00Z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2052-5.5.0.7954</vt:lpwstr>
  </property>
  <property fmtid="{D5CDD505-2E9C-101B-9397-08002B2CF9AE}" pid="3" name="ICV">
    <vt:lpwstr>8A61C625CB6A4BCEAFCC9A97338D6FA0_12</vt:lpwstr>
  </property>
</Properties>
</file>