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line="440" w:lineRule="exact"/>
        <w:jc w:val="center"/>
        <w:rPr>
          <w:rFonts w:ascii="Times New Roman" w:hAnsi="Times New Roman" w:eastAsia="仿宋_GB2312"/>
          <w:sz w:val="22"/>
        </w:rPr>
      </w:pPr>
      <w:r>
        <w:rPr>
          <w:rFonts w:hint="eastAsia" w:ascii="黑体" w:hAnsi="黑体" w:eastAsia="黑体" w:cs="黑体"/>
          <w:bCs/>
          <w:sz w:val="36"/>
          <w:szCs w:val="36"/>
        </w:rPr>
        <w:t>经营者集中简易案件公示表</w:t>
      </w: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809" w:type="dxa"/>
            <w:shd w:val="clear" w:color="auto" w:fill="D9D9D9"/>
            <w:vAlign w:val="center"/>
          </w:tcPr>
          <w:p>
            <w:pPr>
              <w:jc w:val="center"/>
              <w:rPr>
                <w:rFonts w:ascii="宋体" w:hAnsi="宋体"/>
                <w:kern w:val="0"/>
                <w:sz w:val="24"/>
                <w:szCs w:val="24"/>
              </w:rPr>
            </w:pPr>
            <w:r>
              <w:rPr>
                <w:rFonts w:ascii="宋体" w:hAnsi="宋体"/>
                <w:kern w:val="0"/>
                <w:sz w:val="24"/>
                <w:szCs w:val="24"/>
              </w:rPr>
              <w:t>案件名称</w:t>
            </w:r>
          </w:p>
        </w:tc>
        <w:tc>
          <w:tcPr>
            <w:tcW w:w="6949" w:type="dxa"/>
            <w:gridSpan w:val="2"/>
          </w:tcPr>
          <w:p>
            <w:pPr>
              <w:rPr>
                <w:rFonts w:ascii="宋体" w:hAnsi="宋体"/>
                <w:kern w:val="0"/>
                <w:sz w:val="24"/>
                <w:szCs w:val="24"/>
              </w:rPr>
            </w:pPr>
            <w:r>
              <w:rPr>
                <w:rFonts w:hint="eastAsia" w:ascii="宋体" w:hAnsi="宋体"/>
                <w:kern w:val="0"/>
                <w:sz w:val="24"/>
                <w:szCs w:val="24"/>
              </w:rPr>
              <w:t>成都润盈置业有限公司收购成都华睿联弘房地产开发有限公司股权案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jc w:val="center"/>
              <w:rPr>
                <w:rFonts w:ascii="宋体" w:hAnsi="宋体"/>
                <w:kern w:val="0"/>
                <w:sz w:val="24"/>
                <w:szCs w:val="24"/>
              </w:rPr>
            </w:pPr>
            <w:r>
              <w:rPr>
                <w:rFonts w:ascii="宋体" w:hAnsi="宋体"/>
                <w:kern w:val="0"/>
                <w:sz w:val="24"/>
                <w:szCs w:val="24"/>
              </w:rPr>
              <w:t>交易概况</w:t>
            </w:r>
          </w:p>
          <w:p>
            <w:pPr>
              <w:jc w:val="center"/>
              <w:rPr>
                <w:rFonts w:ascii="宋体" w:hAnsi="宋体"/>
                <w:kern w:val="0"/>
                <w:sz w:val="24"/>
                <w:szCs w:val="24"/>
              </w:rPr>
            </w:pPr>
            <w:r>
              <w:rPr>
                <w:rFonts w:ascii="宋体" w:hAnsi="宋体"/>
                <w:kern w:val="0"/>
                <w:sz w:val="24"/>
                <w:szCs w:val="24"/>
              </w:rPr>
              <w:t>（限200字内）</w:t>
            </w:r>
          </w:p>
        </w:tc>
        <w:tc>
          <w:tcPr>
            <w:tcW w:w="6949" w:type="dxa"/>
            <w:gridSpan w:val="2"/>
          </w:tcPr>
          <w:p>
            <w:pPr>
              <w:rPr>
                <w:rFonts w:ascii="宋体" w:hAnsi="宋体"/>
                <w:kern w:val="0"/>
                <w:sz w:val="24"/>
                <w:szCs w:val="24"/>
              </w:rPr>
            </w:pPr>
            <w:r>
              <w:rPr>
                <w:rFonts w:hint="eastAsia" w:ascii="宋体" w:hAnsi="宋体"/>
                <w:kern w:val="0"/>
                <w:sz w:val="24"/>
                <w:szCs w:val="24"/>
              </w:rPr>
              <w:t>成都润盈置业有限公司（“成都润盈”）与成都华睿联弘房地产开发有限公司（“华睿联弘”）、珠海华发实业股份有限公司（“华发股份”）签署协议，成都润盈通过增资扩股的方式收购华睿联弘4</w:t>
            </w:r>
            <w:r>
              <w:rPr>
                <w:rFonts w:ascii="宋体" w:hAnsi="宋体"/>
                <w:kern w:val="0"/>
                <w:sz w:val="24"/>
                <w:szCs w:val="24"/>
              </w:rPr>
              <w:t>9</w:t>
            </w:r>
            <w:r>
              <w:rPr>
                <w:rFonts w:hint="eastAsia" w:ascii="宋体" w:hAnsi="宋体"/>
                <w:kern w:val="0"/>
                <w:sz w:val="24"/>
                <w:szCs w:val="24"/>
              </w:rPr>
              <w:t>%的股份。华睿联弘主要在成都市从事商品住宅开发和销售业务。交易前，华发股份持有华睿联弘1</w:t>
            </w:r>
            <w:r>
              <w:rPr>
                <w:rFonts w:ascii="宋体" w:hAnsi="宋体"/>
                <w:kern w:val="0"/>
                <w:sz w:val="24"/>
                <w:szCs w:val="24"/>
              </w:rPr>
              <w:t>00</w:t>
            </w:r>
            <w:r>
              <w:rPr>
                <w:rFonts w:hint="eastAsia" w:ascii="宋体" w:hAnsi="宋体"/>
                <w:kern w:val="0"/>
                <w:sz w:val="24"/>
                <w:szCs w:val="24"/>
              </w:rPr>
              <w:t>%的股份，单独控制华睿联弘。交易后，华发股份</w:t>
            </w:r>
            <w:r>
              <w:rPr>
                <w:rFonts w:hint="eastAsia" w:ascii="宋体" w:hAnsi="宋体"/>
                <w:kern w:val="0"/>
                <w:sz w:val="24"/>
                <w:szCs w:val="24"/>
                <w:lang w:eastAsia="zh-CN"/>
              </w:rPr>
              <w:t>和</w:t>
            </w:r>
            <w:r>
              <w:rPr>
                <w:rFonts w:hint="eastAsia" w:ascii="宋体" w:hAnsi="宋体"/>
                <w:kern w:val="0"/>
                <w:sz w:val="24"/>
                <w:szCs w:val="24"/>
              </w:rPr>
              <w:t>成都润盈将</w:t>
            </w:r>
            <w:r>
              <w:rPr>
                <w:rFonts w:hint="eastAsia" w:ascii="宋体" w:hAnsi="宋体"/>
                <w:kern w:val="0"/>
                <w:sz w:val="24"/>
                <w:szCs w:val="24"/>
                <w:lang w:eastAsia="zh-CN"/>
              </w:rPr>
              <w:t>分别</w:t>
            </w:r>
            <w:r>
              <w:rPr>
                <w:rFonts w:hint="eastAsia" w:ascii="宋体" w:hAnsi="宋体"/>
                <w:kern w:val="0"/>
                <w:sz w:val="24"/>
                <w:szCs w:val="24"/>
              </w:rPr>
              <w:t>持有华睿联弘</w:t>
            </w:r>
            <w:r>
              <w:rPr>
                <w:rFonts w:hint="eastAsia" w:ascii="宋体" w:hAnsi="宋体"/>
                <w:kern w:val="0"/>
                <w:sz w:val="24"/>
                <w:szCs w:val="24"/>
                <w:lang w:val="en-US" w:eastAsia="zh-CN"/>
              </w:rPr>
              <w:t>51%和</w:t>
            </w:r>
            <w:r>
              <w:rPr>
                <w:rFonts w:hint="eastAsia" w:ascii="宋体" w:hAnsi="宋体"/>
                <w:kern w:val="0"/>
                <w:sz w:val="24"/>
                <w:szCs w:val="24"/>
              </w:rPr>
              <w:t>4</w:t>
            </w:r>
            <w:r>
              <w:rPr>
                <w:rFonts w:ascii="宋体" w:hAnsi="宋体"/>
                <w:kern w:val="0"/>
                <w:sz w:val="24"/>
                <w:szCs w:val="24"/>
              </w:rPr>
              <w:t>9</w:t>
            </w:r>
            <w:r>
              <w:rPr>
                <w:rFonts w:hint="eastAsia" w:ascii="宋体" w:hAnsi="宋体"/>
                <w:kern w:val="0"/>
                <w:sz w:val="24"/>
                <w:szCs w:val="24"/>
              </w:rPr>
              <w:t>%的股份，</w:t>
            </w:r>
            <w:bookmarkStart w:id="0" w:name="_GoBack"/>
            <w:bookmarkEnd w:id="0"/>
            <w:r>
              <w:rPr>
                <w:rFonts w:hint="eastAsia" w:ascii="宋体" w:hAnsi="宋体"/>
                <w:kern w:val="0"/>
                <w:sz w:val="24"/>
                <w:szCs w:val="24"/>
              </w:rPr>
              <w:t>共同控制华睿联弘。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jc w:val="center"/>
              <w:rPr>
                <w:rFonts w:ascii="宋体" w:hAnsi="宋体"/>
                <w:kern w:val="0"/>
                <w:sz w:val="24"/>
                <w:szCs w:val="24"/>
              </w:rPr>
            </w:pPr>
            <w:r>
              <w:rPr>
                <w:rFonts w:ascii="宋体" w:hAnsi="宋体"/>
                <w:kern w:val="0"/>
                <w:sz w:val="24"/>
                <w:szCs w:val="24"/>
              </w:rPr>
              <w:t>参与集中的</w:t>
            </w:r>
          </w:p>
          <w:p>
            <w:pPr>
              <w:jc w:val="center"/>
              <w:rPr>
                <w:rFonts w:ascii="宋体" w:hAnsi="宋体"/>
                <w:kern w:val="0"/>
                <w:sz w:val="24"/>
                <w:szCs w:val="24"/>
              </w:rPr>
            </w:pPr>
            <w:r>
              <w:rPr>
                <w:rFonts w:ascii="宋体" w:hAnsi="宋体"/>
                <w:kern w:val="0"/>
                <w:sz w:val="24"/>
                <w:szCs w:val="24"/>
              </w:rPr>
              <w:t>经营者简介</w:t>
            </w:r>
          </w:p>
        </w:tc>
        <w:tc>
          <w:tcPr>
            <w:tcW w:w="1796" w:type="dxa"/>
            <w:vAlign w:val="center"/>
          </w:tcPr>
          <w:p>
            <w:pPr>
              <w:rPr>
                <w:rFonts w:ascii="宋体" w:hAnsi="宋体"/>
                <w:kern w:val="0"/>
                <w:sz w:val="24"/>
                <w:szCs w:val="24"/>
              </w:rPr>
            </w:pPr>
            <w:r>
              <w:rPr>
                <w:rFonts w:ascii="宋体" w:hAnsi="宋体"/>
                <w:kern w:val="0"/>
                <w:sz w:val="24"/>
                <w:szCs w:val="24"/>
              </w:rPr>
              <w:t>1、</w:t>
            </w:r>
            <w:r>
              <w:rPr>
                <w:rFonts w:hint="eastAsia" w:ascii="宋体" w:hAnsi="宋体"/>
                <w:kern w:val="0"/>
                <w:sz w:val="24"/>
                <w:szCs w:val="24"/>
              </w:rPr>
              <w:t>成都润盈</w:t>
            </w:r>
          </w:p>
        </w:tc>
        <w:tc>
          <w:tcPr>
            <w:tcW w:w="5153" w:type="dxa"/>
            <w:vAlign w:val="center"/>
          </w:tcPr>
          <w:p>
            <w:pPr>
              <w:rPr>
                <w:rFonts w:ascii="宋体" w:hAnsi="宋体"/>
                <w:sz w:val="24"/>
                <w:szCs w:val="24"/>
              </w:rPr>
            </w:pPr>
            <w:r>
              <w:rPr>
                <w:rFonts w:hint="eastAsia" w:ascii="宋体" w:hAnsi="宋体"/>
                <w:sz w:val="24"/>
                <w:szCs w:val="24"/>
              </w:rPr>
              <w:t>成都润盈</w:t>
            </w:r>
            <w:r>
              <w:rPr>
                <w:rFonts w:ascii="宋体" w:hAnsi="宋体"/>
                <w:sz w:val="24"/>
                <w:szCs w:val="24"/>
              </w:rPr>
              <w:t>于2017年7月10日成立于中国</w:t>
            </w:r>
            <w:r>
              <w:rPr>
                <w:rFonts w:hint="eastAsia" w:ascii="宋体" w:hAnsi="宋体"/>
                <w:sz w:val="24"/>
                <w:szCs w:val="24"/>
              </w:rPr>
              <w:t>四川省，</w:t>
            </w:r>
            <w:r>
              <w:rPr>
                <w:rFonts w:ascii="宋体" w:hAnsi="宋体"/>
                <w:sz w:val="24"/>
                <w:szCs w:val="24"/>
              </w:rPr>
              <w:t>主要</w:t>
            </w:r>
            <w:r>
              <w:rPr>
                <w:rFonts w:hint="eastAsia" w:ascii="宋体" w:hAnsi="宋体"/>
                <w:sz w:val="24"/>
                <w:szCs w:val="24"/>
              </w:rPr>
              <w:t>业务为房地产开发经营、房地产营销策划等。</w:t>
            </w:r>
          </w:p>
          <w:p>
            <w:pPr>
              <w:rPr>
                <w:rFonts w:ascii="宋体" w:hAnsi="宋体"/>
                <w:sz w:val="24"/>
                <w:szCs w:val="24"/>
              </w:rPr>
            </w:pPr>
            <w:r>
              <w:rPr>
                <w:rFonts w:hint="eastAsia" w:ascii="宋体" w:hAnsi="宋体"/>
                <w:sz w:val="24"/>
                <w:szCs w:val="24"/>
              </w:rPr>
              <w:t>成都润盈</w:t>
            </w:r>
            <w:r>
              <w:rPr>
                <w:rFonts w:ascii="宋体" w:hAnsi="宋体"/>
                <w:sz w:val="24"/>
                <w:szCs w:val="24"/>
              </w:rPr>
              <w:t>最终控制人</w:t>
            </w:r>
            <w:r>
              <w:rPr>
                <w:rFonts w:hint="eastAsia" w:ascii="宋体" w:hAnsi="宋体"/>
                <w:sz w:val="24"/>
                <w:szCs w:val="24"/>
              </w:rPr>
              <w:t>为</w:t>
            </w:r>
            <w:r>
              <w:rPr>
                <w:rFonts w:ascii="宋体" w:hAnsi="宋体"/>
                <w:sz w:val="24"/>
                <w:szCs w:val="24"/>
              </w:rPr>
              <w:t>中国华润有限公司，</w:t>
            </w:r>
            <w:r>
              <w:rPr>
                <w:rFonts w:hint="eastAsia" w:ascii="宋体" w:hAnsi="宋体"/>
                <w:sz w:val="24"/>
                <w:szCs w:val="24"/>
              </w:rPr>
              <w:t>主要业务为</w:t>
            </w:r>
            <w:r>
              <w:rPr>
                <w:rFonts w:ascii="宋体" w:hAnsi="宋体"/>
                <w:sz w:val="24"/>
                <w:szCs w:val="24"/>
              </w:rPr>
              <w:t>大消费、综合能源、城市建设与运营、大健康、产业金融、科技及新兴产业</w:t>
            </w:r>
            <w:r>
              <w:rPr>
                <w:rFonts w:hint="eastAsia" w:ascii="宋体" w:hAnsi="宋体"/>
                <w:sz w:val="24"/>
                <w:szCs w:val="24"/>
              </w:rPr>
              <w:t>等</w:t>
            </w:r>
            <w:r>
              <w:rPr>
                <w:rFonts w:ascii="宋体" w:hAnsi="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1809" w:type="dxa"/>
            <w:vMerge w:val="continue"/>
            <w:shd w:val="clear" w:color="auto" w:fill="D9D9D9"/>
            <w:vAlign w:val="center"/>
          </w:tcPr>
          <w:p>
            <w:pPr>
              <w:jc w:val="center"/>
              <w:rPr>
                <w:rFonts w:ascii="宋体" w:hAnsi="宋体"/>
                <w:kern w:val="0"/>
                <w:sz w:val="24"/>
                <w:szCs w:val="24"/>
              </w:rPr>
            </w:pPr>
          </w:p>
        </w:tc>
        <w:tc>
          <w:tcPr>
            <w:tcW w:w="1796" w:type="dxa"/>
            <w:vAlign w:val="center"/>
          </w:tcPr>
          <w:p>
            <w:pPr>
              <w:rPr>
                <w:rFonts w:ascii="宋体" w:hAnsi="宋体"/>
                <w:kern w:val="0"/>
                <w:sz w:val="24"/>
                <w:szCs w:val="24"/>
              </w:rPr>
            </w:pPr>
            <w:r>
              <w:rPr>
                <w:rFonts w:ascii="宋体" w:hAnsi="宋体"/>
                <w:kern w:val="0"/>
                <w:sz w:val="24"/>
                <w:szCs w:val="24"/>
              </w:rPr>
              <w:t>2、</w:t>
            </w:r>
            <w:r>
              <w:rPr>
                <w:rFonts w:hint="eastAsia" w:ascii="宋体" w:hAnsi="宋体"/>
                <w:kern w:val="0"/>
                <w:sz w:val="24"/>
                <w:szCs w:val="24"/>
              </w:rPr>
              <w:t>华发股份</w:t>
            </w:r>
          </w:p>
        </w:tc>
        <w:tc>
          <w:tcPr>
            <w:tcW w:w="5153" w:type="dxa"/>
            <w:vAlign w:val="center"/>
          </w:tcPr>
          <w:p>
            <w:pPr>
              <w:rPr>
                <w:rFonts w:ascii="宋体" w:hAnsi="宋体"/>
                <w:sz w:val="24"/>
                <w:szCs w:val="24"/>
              </w:rPr>
            </w:pPr>
            <w:r>
              <w:rPr>
                <w:rFonts w:hint="eastAsia" w:ascii="宋体" w:hAnsi="宋体"/>
                <w:sz w:val="24"/>
                <w:szCs w:val="24"/>
              </w:rPr>
              <w:t>华发股份于1</w:t>
            </w:r>
            <w:r>
              <w:rPr>
                <w:rFonts w:ascii="宋体" w:hAnsi="宋体"/>
                <w:sz w:val="24"/>
                <w:szCs w:val="24"/>
              </w:rPr>
              <w:t>992</w:t>
            </w:r>
            <w:r>
              <w:rPr>
                <w:rFonts w:hint="eastAsia" w:ascii="宋体" w:hAnsi="宋体"/>
                <w:sz w:val="24"/>
                <w:szCs w:val="24"/>
              </w:rPr>
              <w:t>年8月1</w:t>
            </w:r>
            <w:r>
              <w:rPr>
                <w:rFonts w:ascii="宋体" w:hAnsi="宋体"/>
                <w:sz w:val="24"/>
                <w:szCs w:val="24"/>
              </w:rPr>
              <w:t>8</w:t>
            </w:r>
            <w:r>
              <w:rPr>
                <w:rFonts w:hint="eastAsia" w:ascii="宋体" w:hAnsi="宋体"/>
                <w:sz w:val="24"/>
                <w:szCs w:val="24"/>
              </w:rPr>
              <w:t>日成立于中国广东省，主要业务为房地产开发经营。</w:t>
            </w:r>
          </w:p>
          <w:p>
            <w:pPr>
              <w:rPr>
                <w:rFonts w:ascii="宋体" w:hAnsi="宋体"/>
                <w:sz w:val="24"/>
                <w:szCs w:val="24"/>
              </w:rPr>
            </w:pPr>
            <w:r>
              <w:rPr>
                <w:rFonts w:hint="eastAsia" w:ascii="宋体" w:hAnsi="宋体"/>
                <w:sz w:val="24"/>
                <w:szCs w:val="24"/>
              </w:rPr>
              <w:t>华发股份最终控制人为珠海华发集团有限公司，主要业务为城市运营、房产开发、金融产业、科技产业、商贸服务、现代服务等。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ascii="宋体" w:hAnsi="宋体"/>
                <w:kern w:val="0"/>
                <w:sz w:val="24"/>
                <w:szCs w:val="24"/>
              </w:rPr>
            </w:pPr>
            <w:r>
              <w:rPr>
                <w:rFonts w:ascii="宋体" w:hAnsi="宋体"/>
                <w:kern w:val="0"/>
                <w:sz w:val="24"/>
                <w:szCs w:val="24"/>
              </w:rPr>
              <w:t>简易案件理由（可以单选，也可以多选）</w:t>
            </w:r>
          </w:p>
        </w:tc>
        <w:tc>
          <w:tcPr>
            <w:tcW w:w="6949" w:type="dxa"/>
            <w:gridSpan w:val="2"/>
          </w:tcPr>
          <w:p>
            <w:pPr>
              <w:rPr>
                <w:rFonts w:ascii="宋体" w:hAnsi="宋体"/>
                <w:kern w:val="0"/>
                <w:sz w:val="24"/>
                <w:szCs w:val="24"/>
              </w:rPr>
            </w:pPr>
            <w:r>
              <w:rPr>
                <w:rFonts w:ascii="宋体" w:hAnsi="宋体"/>
                <w:kern w:val="0"/>
                <w:sz w:val="24"/>
                <w:szCs w:val="24"/>
              </w:rPr>
              <w:sym w:font="Wingdings" w:char="F0FE"/>
            </w:r>
            <w:r>
              <w:rPr>
                <w:rFonts w:ascii="宋体" w:hAnsi="宋体"/>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jc w:val="center"/>
              <w:rPr>
                <w:rFonts w:ascii="宋体" w:hAnsi="宋体"/>
                <w:kern w:val="0"/>
                <w:sz w:val="24"/>
                <w:szCs w:val="24"/>
              </w:rPr>
            </w:pPr>
          </w:p>
        </w:tc>
        <w:tc>
          <w:tcPr>
            <w:tcW w:w="6949" w:type="dxa"/>
            <w:gridSpan w:val="2"/>
          </w:tcPr>
          <w:p>
            <w:pPr>
              <w:rPr>
                <w:rFonts w:ascii="宋体" w:hAnsi="宋体"/>
                <w:kern w:val="0"/>
                <w:sz w:val="24"/>
                <w:szCs w:val="24"/>
              </w:rPr>
            </w:pPr>
            <w:r>
              <w:rPr>
                <w:rFonts w:ascii="宋体" w:hAnsi="宋体"/>
                <w:kern w:val="0"/>
                <w:sz w:val="24"/>
                <w:szCs w:val="24"/>
              </w:rPr>
              <w:sym w:font="Wingdings" w:char="F0FE"/>
            </w:r>
            <w:r>
              <w:rPr>
                <w:rFonts w:ascii="宋体" w:hAnsi="宋体"/>
                <w:kern w:val="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jc w:val="center"/>
              <w:rPr>
                <w:rFonts w:ascii="宋体" w:hAnsi="宋体"/>
                <w:kern w:val="0"/>
                <w:sz w:val="24"/>
                <w:szCs w:val="24"/>
              </w:rPr>
            </w:pPr>
          </w:p>
        </w:tc>
        <w:tc>
          <w:tcPr>
            <w:tcW w:w="6949" w:type="dxa"/>
            <w:gridSpan w:val="2"/>
          </w:tcPr>
          <w:p>
            <w:pPr>
              <w:rPr>
                <w:rFonts w:ascii="宋体" w:hAnsi="宋体"/>
                <w:kern w:val="0"/>
                <w:sz w:val="24"/>
                <w:szCs w:val="24"/>
              </w:rPr>
            </w:pPr>
            <w:r>
              <w:rPr>
                <w:rFonts w:ascii="宋体" w:hAnsi="宋体"/>
                <w:kern w:val="0"/>
                <w:sz w:val="24"/>
                <w:szCs w:val="24"/>
              </w:rPr>
              <w:sym w:font="Wingdings" w:char="F0A8"/>
            </w:r>
            <w:r>
              <w:rPr>
                <w:rFonts w:ascii="宋体" w:hAnsi="宋体"/>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809" w:type="dxa"/>
            <w:vMerge w:val="continue"/>
            <w:shd w:val="clear" w:color="auto" w:fill="D9D9D9"/>
            <w:vAlign w:val="center"/>
          </w:tcPr>
          <w:p>
            <w:pPr>
              <w:jc w:val="center"/>
              <w:rPr>
                <w:rFonts w:ascii="宋体" w:hAnsi="宋体"/>
                <w:kern w:val="0"/>
                <w:sz w:val="24"/>
                <w:szCs w:val="24"/>
              </w:rPr>
            </w:pPr>
          </w:p>
        </w:tc>
        <w:tc>
          <w:tcPr>
            <w:tcW w:w="6949" w:type="dxa"/>
            <w:gridSpan w:val="2"/>
          </w:tcPr>
          <w:p>
            <w:pPr>
              <w:rPr>
                <w:rFonts w:ascii="宋体" w:hAnsi="宋体"/>
                <w:kern w:val="0"/>
                <w:sz w:val="24"/>
                <w:szCs w:val="24"/>
              </w:rPr>
            </w:pPr>
            <w:r>
              <w:rPr>
                <w:rFonts w:ascii="宋体" w:hAnsi="宋体"/>
                <w:kern w:val="0"/>
                <w:sz w:val="24"/>
                <w:szCs w:val="24"/>
              </w:rPr>
              <w:sym w:font="Wingdings" w:char="F0A8"/>
            </w:r>
            <w:r>
              <w:rPr>
                <w:rFonts w:ascii="宋体" w:hAnsi="宋体"/>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jc w:val="center"/>
              <w:rPr>
                <w:rFonts w:ascii="宋体" w:hAnsi="宋体"/>
                <w:kern w:val="0"/>
                <w:sz w:val="24"/>
                <w:szCs w:val="24"/>
              </w:rPr>
            </w:pPr>
          </w:p>
        </w:tc>
        <w:tc>
          <w:tcPr>
            <w:tcW w:w="6949" w:type="dxa"/>
            <w:gridSpan w:val="2"/>
          </w:tcPr>
          <w:p>
            <w:pPr>
              <w:rPr>
                <w:rFonts w:ascii="宋体" w:hAnsi="宋体"/>
                <w:kern w:val="0"/>
                <w:sz w:val="24"/>
                <w:szCs w:val="24"/>
              </w:rPr>
            </w:pPr>
            <w:r>
              <w:rPr>
                <w:rFonts w:ascii="宋体" w:hAnsi="宋体"/>
                <w:kern w:val="0"/>
                <w:sz w:val="24"/>
                <w:szCs w:val="24"/>
              </w:rPr>
              <w:sym w:font="Wingdings" w:char="F0A8"/>
            </w:r>
            <w:r>
              <w:rPr>
                <w:rFonts w:ascii="宋体" w:hAnsi="宋体"/>
                <w:kern w:val="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jc w:val="center"/>
              <w:rPr>
                <w:rFonts w:ascii="宋体" w:hAnsi="宋体"/>
                <w:kern w:val="0"/>
                <w:sz w:val="24"/>
                <w:szCs w:val="24"/>
              </w:rPr>
            </w:pPr>
          </w:p>
        </w:tc>
        <w:tc>
          <w:tcPr>
            <w:tcW w:w="6949" w:type="dxa"/>
            <w:gridSpan w:val="2"/>
          </w:tcPr>
          <w:p>
            <w:pPr>
              <w:rPr>
                <w:rFonts w:ascii="宋体" w:hAnsi="宋体"/>
                <w:kern w:val="0"/>
                <w:sz w:val="24"/>
                <w:szCs w:val="24"/>
              </w:rPr>
            </w:pPr>
            <w:r>
              <w:rPr>
                <w:rFonts w:ascii="宋体" w:hAnsi="宋体"/>
                <w:kern w:val="0"/>
                <w:sz w:val="24"/>
                <w:szCs w:val="24"/>
              </w:rPr>
              <w:sym w:font="Wingdings" w:char="F0A8"/>
            </w:r>
            <w:r>
              <w:rPr>
                <w:rFonts w:ascii="宋体" w:hAnsi="宋体"/>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vAlign w:val="center"/>
          </w:tcPr>
          <w:p>
            <w:pPr>
              <w:jc w:val="center"/>
              <w:rPr>
                <w:rFonts w:ascii="宋体" w:hAnsi="宋体"/>
                <w:kern w:val="0"/>
                <w:sz w:val="24"/>
                <w:szCs w:val="24"/>
              </w:rPr>
            </w:pPr>
            <w:r>
              <w:rPr>
                <w:rFonts w:ascii="宋体" w:hAnsi="宋体"/>
                <w:kern w:val="0"/>
                <w:sz w:val="24"/>
                <w:szCs w:val="24"/>
              </w:rPr>
              <w:t>备注</w:t>
            </w:r>
          </w:p>
        </w:tc>
        <w:tc>
          <w:tcPr>
            <w:tcW w:w="6949" w:type="dxa"/>
            <w:gridSpan w:val="2"/>
          </w:tcPr>
          <w:p>
            <w:pPr>
              <w:rPr>
                <w:rFonts w:ascii="宋体" w:hAnsi="宋体"/>
                <w:b/>
                <w:sz w:val="24"/>
                <w:szCs w:val="24"/>
              </w:rPr>
            </w:pPr>
            <w:r>
              <w:rPr>
                <w:rFonts w:ascii="宋体" w:hAnsi="宋体"/>
                <w:b/>
                <w:sz w:val="24"/>
                <w:szCs w:val="24"/>
              </w:rPr>
              <w:t xml:space="preserve">横向重叠： </w:t>
            </w:r>
          </w:p>
          <w:p>
            <w:pPr>
              <w:rPr>
                <w:rFonts w:ascii="宋体" w:hAnsi="宋体"/>
                <w:sz w:val="24"/>
                <w:szCs w:val="24"/>
              </w:rPr>
            </w:pPr>
            <w:r>
              <w:rPr>
                <w:rFonts w:hint="eastAsia" w:ascii="宋体" w:hAnsi="宋体"/>
                <w:sz w:val="24"/>
                <w:szCs w:val="24"/>
              </w:rPr>
              <w:t>2022年成都市商品住宅开发和销售市场:</w:t>
            </w:r>
          </w:p>
          <w:p>
            <w:pPr>
              <w:rPr>
                <w:rFonts w:ascii="宋体" w:hAnsi="宋体"/>
                <w:sz w:val="24"/>
                <w:szCs w:val="24"/>
              </w:rPr>
            </w:pPr>
            <w:r>
              <w:rPr>
                <w:rFonts w:hint="eastAsia" w:ascii="宋体" w:hAnsi="宋体"/>
                <w:sz w:val="24"/>
                <w:szCs w:val="24"/>
              </w:rPr>
              <w:t>成都润盈：</w:t>
            </w:r>
            <w:r>
              <w:rPr>
                <w:rFonts w:ascii="宋体" w:hAnsi="宋体"/>
                <w:sz w:val="24"/>
                <w:szCs w:val="24"/>
              </w:rPr>
              <w:t>0-5%</w:t>
            </w:r>
            <w:r>
              <w:rPr>
                <w:rFonts w:hint="eastAsia" w:ascii="宋体" w:hAnsi="宋体"/>
                <w:sz w:val="24"/>
                <w:szCs w:val="24"/>
              </w:rPr>
              <w:t>，华发股份（含华睿联弘）：0-</w:t>
            </w:r>
            <w:r>
              <w:rPr>
                <w:rFonts w:ascii="宋体" w:hAnsi="宋体"/>
                <w:sz w:val="24"/>
                <w:szCs w:val="24"/>
              </w:rPr>
              <w:t>5</w:t>
            </w:r>
            <w:r>
              <w:rPr>
                <w:rFonts w:hint="eastAsia" w:ascii="宋体" w:hAnsi="宋体"/>
                <w:sz w:val="24"/>
                <w:szCs w:val="24"/>
              </w:rPr>
              <w:t>%，各方合计：5-</w:t>
            </w:r>
            <w:r>
              <w:rPr>
                <w:rFonts w:ascii="宋体" w:hAnsi="宋体"/>
                <w:sz w:val="24"/>
                <w:szCs w:val="24"/>
              </w:rPr>
              <w:t>10</w:t>
            </w:r>
            <w:r>
              <w:rPr>
                <w:rFonts w:hint="eastAsia" w:ascii="宋体" w:hAnsi="宋体"/>
                <w:sz w:val="24"/>
                <w:szCs w:val="24"/>
              </w:rPr>
              <w:t>%</w:t>
            </w:r>
          </w:p>
          <w:p>
            <w:pPr>
              <w:rPr>
                <w:rFonts w:ascii="宋体" w:hAnsi="宋体"/>
                <w:sz w:val="24"/>
                <w:szCs w:val="24"/>
              </w:rPr>
            </w:pPr>
            <w:r>
              <w:rPr>
                <w:rFonts w:hint="eastAsia" w:ascii="宋体" w:hAnsi="宋体"/>
                <w:sz w:val="24"/>
                <w:szCs w:val="24"/>
              </w:rPr>
              <w:t>2022年成都市住宅物业管理服务市场</w:t>
            </w:r>
            <w:r>
              <w:rPr>
                <w:rFonts w:ascii="宋体" w:hAnsi="宋体"/>
                <w:sz w:val="24"/>
                <w:szCs w:val="24"/>
              </w:rPr>
              <w:t>:</w:t>
            </w:r>
          </w:p>
          <w:p>
            <w:pPr>
              <w:rPr>
                <w:rFonts w:ascii="宋体" w:hAnsi="宋体"/>
                <w:sz w:val="24"/>
                <w:szCs w:val="24"/>
              </w:rPr>
            </w:pPr>
            <w:r>
              <w:rPr>
                <w:rFonts w:hint="eastAsia" w:ascii="宋体" w:hAnsi="宋体"/>
                <w:sz w:val="24"/>
                <w:szCs w:val="24"/>
              </w:rPr>
              <w:t>成都润盈：</w:t>
            </w:r>
            <w:r>
              <w:rPr>
                <w:rFonts w:ascii="宋体" w:hAnsi="宋体"/>
                <w:sz w:val="24"/>
                <w:szCs w:val="24"/>
              </w:rPr>
              <w:t>0-5%</w:t>
            </w:r>
            <w:r>
              <w:rPr>
                <w:rFonts w:hint="eastAsia" w:ascii="宋体" w:hAnsi="宋体"/>
                <w:sz w:val="24"/>
                <w:szCs w:val="24"/>
              </w:rPr>
              <w:t>，华发股份：0-</w:t>
            </w:r>
            <w:r>
              <w:rPr>
                <w:rFonts w:ascii="宋体" w:hAnsi="宋体"/>
                <w:sz w:val="24"/>
                <w:szCs w:val="24"/>
              </w:rPr>
              <w:t>5</w:t>
            </w:r>
            <w:r>
              <w:rPr>
                <w:rFonts w:hint="eastAsia" w:ascii="宋体" w:hAnsi="宋体"/>
                <w:sz w:val="24"/>
                <w:szCs w:val="24"/>
              </w:rPr>
              <w:t>%，各方合计：</w:t>
            </w:r>
            <w:r>
              <w:rPr>
                <w:rFonts w:ascii="宋体" w:hAnsi="宋体"/>
                <w:sz w:val="24"/>
                <w:szCs w:val="24"/>
              </w:rPr>
              <w:t>0-5</w:t>
            </w:r>
            <w:r>
              <w:rPr>
                <w:rFonts w:hint="eastAsia" w:ascii="宋体" w:hAnsi="宋体"/>
                <w:sz w:val="24"/>
                <w:szCs w:val="24"/>
              </w:rPr>
              <w:t>%</w:t>
            </w:r>
          </w:p>
          <w:p>
            <w:pPr>
              <w:rPr>
                <w:rFonts w:ascii="宋体" w:hAnsi="宋体"/>
                <w:sz w:val="24"/>
                <w:szCs w:val="24"/>
              </w:rPr>
            </w:pPr>
            <w:r>
              <w:rPr>
                <w:rFonts w:hint="eastAsia" w:ascii="宋体" w:hAnsi="宋体"/>
                <w:sz w:val="24"/>
                <w:szCs w:val="24"/>
              </w:rPr>
              <w:t>2022年中国境内房屋建筑工程施工服务市场:</w:t>
            </w:r>
          </w:p>
          <w:p>
            <w:pPr>
              <w:rPr>
                <w:rFonts w:ascii="宋体" w:hAnsi="宋体"/>
                <w:sz w:val="24"/>
                <w:szCs w:val="24"/>
              </w:rPr>
            </w:pPr>
            <w:r>
              <w:rPr>
                <w:rFonts w:hint="eastAsia" w:ascii="宋体" w:hAnsi="宋体"/>
                <w:sz w:val="24"/>
                <w:szCs w:val="24"/>
              </w:rPr>
              <w:t>成都润盈：</w:t>
            </w:r>
            <w:r>
              <w:rPr>
                <w:rFonts w:ascii="宋体" w:hAnsi="宋体"/>
                <w:sz w:val="24"/>
                <w:szCs w:val="24"/>
              </w:rPr>
              <w:t>0-5%</w:t>
            </w:r>
            <w:r>
              <w:rPr>
                <w:rFonts w:hint="eastAsia" w:ascii="宋体" w:hAnsi="宋体"/>
                <w:sz w:val="24"/>
                <w:szCs w:val="24"/>
              </w:rPr>
              <w:t>，华发股份：0-</w:t>
            </w:r>
            <w:r>
              <w:rPr>
                <w:rFonts w:ascii="宋体" w:hAnsi="宋体"/>
                <w:sz w:val="24"/>
                <w:szCs w:val="24"/>
              </w:rPr>
              <w:t>5</w:t>
            </w:r>
            <w:r>
              <w:rPr>
                <w:rFonts w:hint="eastAsia" w:ascii="宋体" w:hAnsi="宋体"/>
                <w:sz w:val="24"/>
                <w:szCs w:val="24"/>
              </w:rPr>
              <w:t>%，各方合计：</w:t>
            </w:r>
            <w:r>
              <w:rPr>
                <w:rFonts w:ascii="宋体" w:hAnsi="宋体"/>
                <w:sz w:val="24"/>
                <w:szCs w:val="24"/>
              </w:rPr>
              <w:t>0-5</w:t>
            </w:r>
            <w:r>
              <w:rPr>
                <w:rFonts w:hint="eastAsia" w:ascii="宋体" w:hAnsi="宋体"/>
                <w:sz w:val="24"/>
                <w:szCs w:val="24"/>
              </w:rPr>
              <w:t>%</w:t>
            </w:r>
          </w:p>
          <w:p>
            <w:pPr>
              <w:rPr>
                <w:rFonts w:ascii="宋体" w:hAnsi="宋体"/>
                <w:sz w:val="24"/>
                <w:szCs w:val="24"/>
              </w:rPr>
            </w:pPr>
          </w:p>
          <w:p>
            <w:pPr>
              <w:rPr>
                <w:rFonts w:ascii="宋体" w:hAnsi="宋体"/>
                <w:b/>
                <w:sz w:val="24"/>
                <w:szCs w:val="24"/>
              </w:rPr>
            </w:pPr>
            <w:r>
              <w:rPr>
                <w:rFonts w:hint="eastAsia" w:ascii="宋体" w:hAnsi="宋体"/>
                <w:b/>
                <w:sz w:val="24"/>
                <w:szCs w:val="24"/>
              </w:rPr>
              <w:t>纵向关联：</w:t>
            </w:r>
          </w:p>
          <w:p>
            <w:pPr>
              <w:rPr>
                <w:rFonts w:ascii="宋体" w:hAnsi="宋体"/>
                <w:sz w:val="24"/>
                <w:szCs w:val="24"/>
              </w:rPr>
            </w:pPr>
            <w:r>
              <w:rPr>
                <w:rFonts w:hint="eastAsia" w:ascii="宋体" w:hAnsi="宋体"/>
                <w:sz w:val="24"/>
                <w:szCs w:val="24"/>
              </w:rPr>
              <w:t>上游：</w:t>
            </w:r>
          </w:p>
          <w:p>
            <w:pPr>
              <w:rPr>
                <w:rFonts w:ascii="宋体" w:hAnsi="宋体"/>
                <w:sz w:val="24"/>
                <w:szCs w:val="24"/>
              </w:rPr>
            </w:pPr>
            <w:r>
              <w:rPr>
                <w:rFonts w:hint="eastAsia" w:ascii="宋体" w:hAnsi="宋体"/>
                <w:sz w:val="24"/>
                <w:szCs w:val="24"/>
              </w:rPr>
              <w:t>2022年成都市住宅物业管理服务市场</w:t>
            </w:r>
            <w:r>
              <w:rPr>
                <w:rFonts w:ascii="宋体" w:hAnsi="宋体"/>
                <w:sz w:val="24"/>
                <w:szCs w:val="24"/>
              </w:rPr>
              <w:t>:</w:t>
            </w:r>
          </w:p>
          <w:p>
            <w:pPr>
              <w:rPr>
                <w:rFonts w:ascii="宋体" w:hAnsi="宋体"/>
                <w:sz w:val="24"/>
                <w:szCs w:val="24"/>
              </w:rPr>
            </w:pPr>
            <w:r>
              <w:rPr>
                <w:rFonts w:hint="eastAsia" w:ascii="宋体" w:hAnsi="宋体"/>
                <w:sz w:val="24"/>
                <w:szCs w:val="24"/>
              </w:rPr>
              <w:t>成都润盈、华发股份：如上所述</w:t>
            </w:r>
          </w:p>
          <w:p>
            <w:pPr>
              <w:rPr>
                <w:rFonts w:ascii="宋体" w:hAnsi="宋体"/>
                <w:sz w:val="24"/>
                <w:szCs w:val="24"/>
              </w:rPr>
            </w:pPr>
            <w:r>
              <w:rPr>
                <w:rFonts w:hint="eastAsia" w:ascii="宋体" w:hAnsi="宋体"/>
                <w:sz w:val="24"/>
                <w:szCs w:val="24"/>
              </w:rPr>
              <w:t>2022年中国境内房屋建筑工程施工服务市场:</w:t>
            </w:r>
          </w:p>
          <w:p>
            <w:pPr>
              <w:rPr>
                <w:rFonts w:ascii="宋体" w:hAnsi="宋体"/>
                <w:sz w:val="24"/>
                <w:szCs w:val="24"/>
              </w:rPr>
            </w:pPr>
            <w:r>
              <w:rPr>
                <w:rFonts w:hint="eastAsia" w:ascii="宋体" w:hAnsi="宋体"/>
                <w:sz w:val="24"/>
                <w:szCs w:val="24"/>
              </w:rPr>
              <w:t>成都润盈、华发股份：如上所述</w:t>
            </w:r>
          </w:p>
          <w:p>
            <w:pPr>
              <w:rPr>
                <w:rFonts w:ascii="宋体" w:hAnsi="宋体"/>
                <w:sz w:val="24"/>
                <w:szCs w:val="24"/>
              </w:rPr>
            </w:pPr>
          </w:p>
          <w:p>
            <w:pPr>
              <w:rPr>
                <w:rFonts w:ascii="宋体" w:hAnsi="宋体"/>
                <w:sz w:val="24"/>
                <w:szCs w:val="24"/>
              </w:rPr>
            </w:pPr>
            <w:r>
              <w:rPr>
                <w:rFonts w:hint="eastAsia" w:ascii="宋体" w:hAnsi="宋体"/>
                <w:sz w:val="24"/>
                <w:szCs w:val="24"/>
              </w:rPr>
              <w:t>下游：</w:t>
            </w:r>
          </w:p>
          <w:p>
            <w:pPr>
              <w:rPr>
                <w:rFonts w:ascii="宋体" w:hAnsi="宋体"/>
                <w:sz w:val="24"/>
                <w:szCs w:val="24"/>
              </w:rPr>
            </w:pPr>
            <w:r>
              <w:rPr>
                <w:rFonts w:hint="eastAsia" w:ascii="宋体" w:hAnsi="宋体"/>
                <w:sz w:val="24"/>
                <w:szCs w:val="24"/>
              </w:rPr>
              <w:t>2022年成都市商品住宅开发和销售市场:</w:t>
            </w:r>
          </w:p>
          <w:p>
            <w:pPr>
              <w:rPr>
                <w:rFonts w:ascii="宋体" w:hAnsi="宋体"/>
                <w:sz w:val="24"/>
                <w:szCs w:val="24"/>
              </w:rPr>
            </w:pPr>
            <w:r>
              <w:rPr>
                <w:rFonts w:hint="eastAsia" w:ascii="宋体" w:hAnsi="宋体"/>
                <w:sz w:val="24"/>
                <w:szCs w:val="24"/>
              </w:rPr>
              <w:t>成都润盈、华发股份（含华睿联弘）：如上所述</w:t>
            </w:r>
          </w:p>
        </w:tc>
      </w:tr>
    </w:tbl>
    <w:p>
      <w:pPr>
        <w:spacing w:line="500" w:lineRule="exact"/>
        <w:rPr>
          <w:rFonts w:ascii="Times New Roman" w:hAnsi="Times New Roman" w:eastAsia="仿宋_GB2312"/>
          <w:sz w:val="2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938750"/>
      <w:docPartObj>
        <w:docPartGallery w:val="AutoText"/>
      </w:docPartObj>
    </w:sdtPr>
    <w:sdtEndPr>
      <w:rPr>
        <w:rFonts w:ascii="Times New Roman" w:hAnsi="Times New Roman"/>
      </w:rPr>
    </w:sdtEndPr>
    <w:sdtContent>
      <w:p>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3ODZhY2I5NTE2NTNhYTZlOTk3MzYxMGY1NzljYjUifQ=="/>
  </w:docVars>
  <w:rsids>
    <w:rsidRoot w:val="00CB00DF"/>
    <w:rsid w:val="0000365A"/>
    <w:rsid w:val="00007547"/>
    <w:rsid w:val="00011483"/>
    <w:rsid w:val="00014FC1"/>
    <w:rsid w:val="00037065"/>
    <w:rsid w:val="00037116"/>
    <w:rsid w:val="000457C2"/>
    <w:rsid w:val="00052EBE"/>
    <w:rsid w:val="000549CA"/>
    <w:rsid w:val="000603B0"/>
    <w:rsid w:val="0006636C"/>
    <w:rsid w:val="000707A2"/>
    <w:rsid w:val="00073A65"/>
    <w:rsid w:val="00081C66"/>
    <w:rsid w:val="00082E02"/>
    <w:rsid w:val="00083EBD"/>
    <w:rsid w:val="00084E2D"/>
    <w:rsid w:val="000879A7"/>
    <w:rsid w:val="00091700"/>
    <w:rsid w:val="0009214D"/>
    <w:rsid w:val="0009414B"/>
    <w:rsid w:val="00096C95"/>
    <w:rsid w:val="00097D26"/>
    <w:rsid w:val="000C0BD7"/>
    <w:rsid w:val="000D6584"/>
    <w:rsid w:val="000D7EBA"/>
    <w:rsid w:val="000E1DFE"/>
    <w:rsid w:val="000E3350"/>
    <w:rsid w:val="000E7DF2"/>
    <w:rsid w:val="000F1F24"/>
    <w:rsid w:val="00101A31"/>
    <w:rsid w:val="0011223F"/>
    <w:rsid w:val="001164CD"/>
    <w:rsid w:val="001273DC"/>
    <w:rsid w:val="001430C8"/>
    <w:rsid w:val="00154B65"/>
    <w:rsid w:val="00155592"/>
    <w:rsid w:val="00155717"/>
    <w:rsid w:val="001569A5"/>
    <w:rsid w:val="00163797"/>
    <w:rsid w:val="001721E9"/>
    <w:rsid w:val="00176997"/>
    <w:rsid w:val="00181834"/>
    <w:rsid w:val="001837A3"/>
    <w:rsid w:val="0018619B"/>
    <w:rsid w:val="00197B46"/>
    <w:rsid w:val="001B02C2"/>
    <w:rsid w:val="001C40BE"/>
    <w:rsid w:val="001D4104"/>
    <w:rsid w:val="001E554B"/>
    <w:rsid w:val="001E5B2D"/>
    <w:rsid w:val="001F0321"/>
    <w:rsid w:val="002047CB"/>
    <w:rsid w:val="002055C1"/>
    <w:rsid w:val="002121B2"/>
    <w:rsid w:val="0021619C"/>
    <w:rsid w:val="00225248"/>
    <w:rsid w:val="00227844"/>
    <w:rsid w:val="002278C7"/>
    <w:rsid w:val="00231D28"/>
    <w:rsid w:val="00242EE3"/>
    <w:rsid w:val="00247FF8"/>
    <w:rsid w:val="002556AE"/>
    <w:rsid w:val="00256F4C"/>
    <w:rsid w:val="00264FD6"/>
    <w:rsid w:val="00284F01"/>
    <w:rsid w:val="002A1585"/>
    <w:rsid w:val="002A1A61"/>
    <w:rsid w:val="002A64F7"/>
    <w:rsid w:val="002B7861"/>
    <w:rsid w:val="002F5F95"/>
    <w:rsid w:val="002F72A4"/>
    <w:rsid w:val="00301CA0"/>
    <w:rsid w:val="00310CE8"/>
    <w:rsid w:val="00322FB7"/>
    <w:rsid w:val="0034459E"/>
    <w:rsid w:val="00344A1C"/>
    <w:rsid w:val="003474E9"/>
    <w:rsid w:val="00350A4E"/>
    <w:rsid w:val="00353ADB"/>
    <w:rsid w:val="003635EE"/>
    <w:rsid w:val="003643AC"/>
    <w:rsid w:val="00367E03"/>
    <w:rsid w:val="003708E9"/>
    <w:rsid w:val="00387C7B"/>
    <w:rsid w:val="00390C5B"/>
    <w:rsid w:val="0039444E"/>
    <w:rsid w:val="003A29D0"/>
    <w:rsid w:val="003A61DC"/>
    <w:rsid w:val="003B23BB"/>
    <w:rsid w:val="003C0AEB"/>
    <w:rsid w:val="003C1714"/>
    <w:rsid w:val="003C3B13"/>
    <w:rsid w:val="003C4C2E"/>
    <w:rsid w:val="003C5BDE"/>
    <w:rsid w:val="003D2B29"/>
    <w:rsid w:val="003E5DBC"/>
    <w:rsid w:val="003F0C5E"/>
    <w:rsid w:val="003F7EAE"/>
    <w:rsid w:val="004061E7"/>
    <w:rsid w:val="0040734F"/>
    <w:rsid w:val="00411E0E"/>
    <w:rsid w:val="004137CA"/>
    <w:rsid w:val="00415A67"/>
    <w:rsid w:val="004200F7"/>
    <w:rsid w:val="00432059"/>
    <w:rsid w:val="004343E6"/>
    <w:rsid w:val="00436215"/>
    <w:rsid w:val="004418C9"/>
    <w:rsid w:val="00442B8B"/>
    <w:rsid w:val="0044374A"/>
    <w:rsid w:val="00453DB6"/>
    <w:rsid w:val="00486059"/>
    <w:rsid w:val="004876AC"/>
    <w:rsid w:val="004A45D9"/>
    <w:rsid w:val="004A5C17"/>
    <w:rsid w:val="004B1A28"/>
    <w:rsid w:val="004B3B4B"/>
    <w:rsid w:val="004C553A"/>
    <w:rsid w:val="004C60E3"/>
    <w:rsid w:val="004D050A"/>
    <w:rsid w:val="004D67EE"/>
    <w:rsid w:val="004E2E18"/>
    <w:rsid w:val="004E53BB"/>
    <w:rsid w:val="004F7688"/>
    <w:rsid w:val="00503F87"/>
    <w:rsid w:val="00504065"/>
    <w:rsid w:val="00507DF9"/>
    <w:rsid w:val="005113AA"/>
    <w:rsid w:val="005212F4"/>
    <w:rsid w:val="00527025"/>
    <w:rsid w:val="005334A1"/>
    <w:rsid w:val="005424FD"/>
    <w:rsid w:val="00555350"/>
    <w:rsid w:val="005831F4"/>
    <w:rsid w:val="0059310C"/>
    <w:rsid w:val="005A29AF"/>
    <w:rsid w:val="005A59A1"/>
    <w:rsid w:val="005B3AC8"/>
    <w:rsid w:val="005C2721"/>
    <w:rsid w:val="005C55AC"/>
    <w:rsid w:val="005D6741"/>
    <w:rsid w:val="005E25E2"/>
    <w:rsid w:val="005F473B"/>
    <w:rsid w:val="005F72C8"/>
    <w:rsid w:val="00603B04"/>
    <w:rsid w:val="006060AE"/>
    <w:rsid w:val="00607776"/>
    <w:rsid w:val="00612590"/>
    <w:rsid w:val="00614F31"/>
    <w:rsid w:val="00616274"/>
    <w:rsid w:val="00617029"/>
    <w:rsid w:val="0062121F"/>
    <w:rsid w:val="00623031"/>
    <w:rsid w:val="00632259"/>
    <w:rsid w:val="00635B25"/>
    <w:rsid w:val="00637325"/>
    <w:rsid w:val="00641181"/>
    <w:rsid w:val="006467D8"/>
    <w:rsid w:val="00657517"/>
    <w:rsid w:val="00673BCC"/>
    <w:rsid w:val="006970D8"/>
    <w:rsid w:val="006A2927"/>
    <w:rsid w:val="006A531B"/>
    <w:rsid w:val="006A5A62"/>
    <w:rsid w:val="006A74E8"/>
    <w:rsid w:val="006A7BB7"/>
    <w:rsid w:val="006B159E"/>
    <w:rsid w:val="006B46E6"/>
    <w:rsid w:val="006C246E"/>
    <w:rsid w:val="006D054D"/>
    <w:rsid w:val="006D0D0E"/>
    <w:rsid w:val="006D15BB"/>
    <w:rsid w:val="006D35E3"/>
    <w:rsid w:val="006D6C9A"/>
    <w:rsid w:val="006D6D97"/>
    <w:rsid w:val="006E0531"/>
    <w:rsid w:val="006E6AAF"/>
    <w:rsid w:val="006F219A"/>
    <w:rsid w:val="006F498C"/>
    <w:rsid w:val="006F7693"/>
    <w:rsid w:val="0070182C"/>
    <w:rsid w:val="00710140"/>
    <w:rsid w:val="00716463"/>
    <w:rsid w:val="00745B2E"/>
    <w:rsid w:val="00750280"/>
    <w:rsid w:val="00750AA6"/>
    <w:rsid w:val="007544B6"/>
    <w:rsid w:val="00754894"/>
    <w:rsid w:val="007565ED"/>
    <w:rsid w:val="00756FE2"/>
    <w:rsid w:val="0078013A"/>
    <w:rsid w:val="00781675"/>
    <w:rsid w:val="00782199"/>
    <w:rsid w:val="0078523F"/>
    <w:rsid w:val="007916B1"/>
    <w:rsid w:val="00792B9B"/>
    <w:rsid w:val="00797E85"/>
    <w:rsid w:val="007A7644"/>
    <w:rsid w:val="007B1F41"/>
    <w:rsid w:val="007B3A40"/>
    <w:rsid w:val="007C036E"/>
    <w:rsid w:val="007F2275"/>
    <w:rsid w:val="0082056A"/>
    <w:rsid w:val="00831DFB"/>
    <w:rsid w:val="008335F1"/>
    <w:rsid w:val="00835E44"/>
    <w:rsid w:val="00842A25"/>
    <w:rsid w:val="00842F25"/>
    <w:rsid w:val="00863B9B"/>
    <w:rsid w:val="008664EF"/>
    <w:rsid w:val="0086698D"/>
    <w:rsid w:val="00874A0E"/>
    <w:rsid w:val="008845B4"/>
    <w:rsid w:val="00890912"/>
    <w:rsid w:val="008918F7"/>
    <w:rsid w:val="00893FA1"/>
    <w:rsid w:val="00897A6F"/>
    <w:rsid w:val="008A0412"/>
    <w:rsid w:val="008A04B8"/>
    <w:rsid w:val="008B0266"/>
    <w:rsid w:val="008B10FE"/>
    <w:rsid w:val="008B203C"/>
    <w:rsid w:val="008B2391"/>
    <w:rsid w:val="008B7D2E"/>
    <w:rsid w:val="008C73AB"/>
    <w:rsid w:val="008D1308"/>
    <w:rsid w:val="008E498A"/>
    <w:rsid w:val="008E5510"/>
    <w:rsid w:val="00903D16"/>
    <w:rsid w:val="00904270"/>
    <w:rsid w:val="009153C9"/>
    <w:rsid w:val="00915F0F"/>
    <w:rsid w:val="00930388"/>
    <w:rsid w:val="009335B8"/>
    <w:rsid w:val="009373A6"/>
    <w:rsid w:val="009458CE"/>
    <w:rsid w:val="00946D5B"/>
    <w:rsid w:val="009532DF"/>
    <w:rsid w:val="0095516E"/>
    <w:rsid w:val="00964066"/>
    <w:rsid w:val="00965990"/>
    <w:rsid w:val="00967ABA"/>
    <w:rsid w:val="009721BC"/>
    <w:rsid w:val="00997019"/>
    <w:rsid w:val="009A060A"/>
    <w:rsid w:val="009A4835"/>
    <w:rsid w:val="009A5029"/>
    <w:rsid w:val="009A7367"/>
    <w:rsid w:val="009C1A53"/>
    <w:rsid w:val="009C217A"/>
    <w:rsid w:val="009C4F4F"/>
    <w:rsid w:val="009D38D5"/>
    <w:rsid w:val="009D41DE"/>
    <w:rsid w:val="009D616B"/>
    <w:rsid w:val="009D682E"/>
    <w:rsid w:val="009E156A"/>
    <w:rsid w:val="009E1EBD"/>
    <w:rsid w:val="009E3FAE"/>
    <w:rsid w:val="009E4FC2"/>
    <w:rsid w:val="009E5671"/>
    <w:rsid w:val="00A003FC"/>
    <w:rsid w:val="00A05F36"/>
    <w:rsid w:val="00A06D87"/>
    <w:rsid w:val="00A101F6"/>
    <w:rsid w:val="00A2747A"/>
    <w:rsid w:val="00A30C7C"/>
    <w:rsid w:val="00A33462"/>
    <w:rsid w:val="00A3742E"/>
    <w:rsid w:val="00A428BA"/>
    <w:rsid w:val="00A4363F"/>
    <w:rsid w:val="00A47BF5"/>
    <w:rsid w:val="00A53F26"/>
    <w:rsid w:val="00A619A3"/>
    <w:rsid w:val="00A63674"/>
    <w:rsid w:val="00A64B02"/>
    <w:rsid w:val="00A6739B"/>
    <w:rsid w:val="00A70C9E"/>
    <w:rsid w:val="00A72FE6"/>
    <w:rsid w:val="00A800A3"/>
    <w:rsid w:val="00A848DE"/>
    <w:rsid w:val="00A9000C"/>
    <w:rsid w:val="00A91CE7"/>
    <w:rsid w:val="00A924EB"/>
    <w:rsid w:val="00A94EED"/>
    <w:rsid w:val="00AA00C2"/>
    <w:rsid w:val="00AA061F"/>
    <w:rsid w:val="00AA0CC5"/>
    <w:rsid w:val="00AA1AFD"/>
    <w:rsid w:val="00AA1D8A"/>
    <w:rsid w:val="00AA2BEF"/>
    <w:rsid w:val="00AC43AC"/>
    <w:rsid w:val="00AC4431"/>
    <w:rsid w:val="00AE4DBD"/>
    <w:rsid w:val="00AF32F5"/>
    <w:rsid w:val="00B14FED"/>
    <w:rsid w:val="00B16AFE"/>
    <w:rsid w:val="00B2699E"/>
    <w:rsid w:val="00B3285F"/>
    <w:rsid w:val="00B32BDD"/>
    <w:rsid w:val="00B3353C"/>
    <w:rsid w:val="00B342E3"/>
    <w:rsid w:val="00B34B9F"/>
    <w:rsid w:val="00B65D7A"/>
    <w:rsid w:val="00B65DD5"/>
    <w:rsid w:val="00B67B4B"/>
    <w:rsid w:val="00B700B6"/>
    <w:rsid w:val="00B70E71"/>
    <w:rsid w:val="00B77C58"/>
    <w:rsid w:val="00B77EF7"/>
    <w:rsid w:val="00B81805"/>
    <w:rsid w:val="00B91486"/>
    <w:rsid w:val="00B93941"/>
    <w:rsid w:val="00B95315"/>
    <w:rsid w:val="00BA232F"/>
    <w:rsid w:val="00BA3488"/>
    <w:rsid w:val="00BB4C75"/>
    <w:rsid w:val="00BC0276"/>
    <w:rsid w:val="00BC30F5"/>
    <w:rsid w:val="00BC37C6"/>
    <w:rsid w:val="00BD0995"/>
    <w:rsid w:val="00BD0D99"/>
    <w:rsid w:val="00BD10B6"/>
    <w:rsid w:val="00BE26B3"/>
    <w:rsid w:val="00BE404E"/>
    <w:rsid w:val="00BE7128"/>
    <w:rsid w:val="00BF4C96"/>
    <w:rsid w:val="00BF7194"/>
    <w:rsid w:val="00C06588"/>
    <w:rsid w:val="00C07076"/>
    <w:rsid w:val="00C11B04"/>
    <w:rsid w:val="00C20DDA"/>
    <w:rsid w:val="00C32415"/>
    <w:rsid w:val="00C35EDD"/>
    <w:rsid w:val="00C625D6"/>
    <w:rsid w:val="00C6341B"/>
    <w:rsid w:val="00C65F98"/>
    <w:rsid w:val="00C72BB0"/>
    <w:rsid w:val="00C77EBE"/>
    <w:rsid w:val="00C84515"/>
    <w:rsid w:val="00C863D1"/>
    <w:rsid w:val="00C93EE3"/>
    <w:rsid w:val="00C95AC9"/>
    <w:rsid w:val="00CB00DF"/>
    <w:rsid w:val="00CB287C"/>
    <w:rsid w:val="00CC6B5F"/>
    <w:rsid w:val="00CD5025"/>
    <w:rsid w:val="00CD5AD2"/>
    <w:rsid w:val="00CD7B78"/>
    <w:rsid w:val="00D02B09"/>
    <w:rsid w:val="00D0500F"/>
    <w:rsid w:val="00D143E1"/>
    <w:rsid w:val="00D168FD"/>
    <w:rsid w:val="00D206E1"/>
    <w:rsid w:val="00D4291D"/>
    <w:rsid w:val="00D61668"/>
    <w:rsid w:val="00D620BE"/>
    <w:rsid w:val="00D64A2A"/>
    <w:rsid w:val="00D64E2A"/>
    <w:rsid w:val="00D7127A"/>
    <w:rsid w:val="00D73C72"/>
    <w:rsid w:val="00D74B9D"/>
    <w:rsid w:val="00D81976"/>
    <w:rsid w:val="00D8393C"/>
    <w:rsid w:val="00DA4265"/>
    <w:rsid w:val="00DA5A8E"/>
    <w:rsid w:val="00DA609F"/>
    <w:rsid w:val="00DE0A77"/>
    <w:rsid w:val="00DE2702"/>
    <w:rsid w:val="00DF0A95"/>
    <w:rsid w:val="00DF7E3F"/>
    <w:rsid w:val="00E035BF"/>
    <w:rsid w:val="00E0592B"/>
    <w:rsid w:val="00E07B6B"/>
    <w:rsid w:val="00E100C0"/>
    <w:rsid w:val="00E11ACB"/>
    <w:rsid w:val="00E11B10"/>
    <w:rsid w:val="00E23275"/>
    <w:rsid w:val="00E27EC9"/>
    <w:rsid w:val="00E31738"/>
    <w:rsid w:val="00E335EB"/>
    <w:rsid w:val="00E47F7B"/>
    <w:rsid w:val="00E54514"/>
    <w:rsid w:val="00E5612D"/>
    <w:rsid w:val="00E56E02"/>
    <w:rsid w:val="00E70310"/>
    <w:rsid w:val="00E73506"/>
    <w:rsid w:val="00E832A2"/>
    <w:rsid w:val="00E86786"/>
    <w:rsid w:val="00E939DC"/>
    <w:rsid w:val="00E96641"/>
    <w:rsid w:val="00EA045B"/>
    <w:rsid w:val="00EA0F36"/>
    <w:rsid w:val="00EB28A4"/>
    <w:rsid w:val="00EB3E83"/>
    <w:rsid w:val="00EB5419"/>
    <w:rsid w:val="00EB61AD"/>
    <w:rsid w:val="00EC7441"/>
    <w:rsid w:val="00ED1717"/>
    <w:rsid w:val="00ED2F80"/>
    <w:rsid w:val="00ED60DF"/>
    <w:rsid w:val="00EE1599"/>
    <w:rsid w:val="00EE3867"/>
    <w:rsid w:val="00EE39F3"/>
    <w:rsid w:val="00EE7453"/>
    <w:rsid w:val="00EE7A40"/>
    <w:rsid w:val="00EF42DD"/>
    <w:rsid w:val="00EF5FB9"/>
    <w:rsid w:val="00F10E7C"/>
    <w:rsid w:val="00F1112C"/>
    <w:rsid w:val="00F1624E"/>
    <w:rsid w:val="00F25B2A"/>
    <w:rsid w:val="00F32F8A"/>
    <w:rsid w:val="00F331B0"/>
    <w:rsid w:val="00F375CF"/>
    <w:rsid w:val="00F40985"/>
    <w:rsid w:val="00F40F87"/>
    <w:rsid w:val="00F42E0E"/>
    <w:rsid w:val="00F46E0E"/>
    <w:rsid w:val="00F507CB"/>
    <w:rsid w:val="00F51353"/>
    <w:rsid w:val="00F564AF"/>
    <w:rsid w:val="00F65830"/>
    <w:rsid w:val="00F70290"/>
    <w:rsid w:val="00F7794A"/>
    <w:rsid w:val="00F807A7"/>
    <w:rsid w:val="00F810AA"/>
    <w:rsid w:val="00F85FCA"/>
    <w:rsid w:val="00F869C6"/>
    <w:rsid w:val="00F91A2E"/>
    <w:rsid w:val="00F92424"/>
    <w:rsid w:val="00F93963"/>
    <w:rsid w:val="00F94E15"/>
    <w:rsid w:val="00F97BEA"/>
    <w:rsid w:val="00FB3E8D"/>
    <w:rsid w:val="00FB43EC"/>
    <w:rsid w:val="00FB6B40"/>
    <w:rsid w:val="0393414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semiHidden/>
    <w:unhideWhenUsed/>
    <w:uiPriority w:val="99"/>
    <w:pPr>
      <w:jc w:val="left"/>
    </w:pPr>
  </w:style>
  <w:style w:type="paragraph" w:styleId="3">
    <w:name w:val="Balloon Text"/>
    <w:basedOn w:val="1"/>
    <w:link w:val="15"/>
    <w:semiHidden/>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8"/>
    <w:unhideWhenUsed/>
    <w:qFormat/>
    <w:uiPriority w:val="99"/>
    <w:pPr>
      <w:snapToGrid w:val="0"/>
      <w:jc w:val="left"/>
    </w:pPr>
    <w:rPr>
      <w:rFonts w:asciiTheme="minorHAnsi" w:hAnsiTheme="minorHAnsi" w:eastAsiaTheme="minorEastAsia" w:cstheme="minorBidi"/>
      <w:sz w:val="18"/>
      <w:szCs w:val="18"/>
    </w:rPr>
  </w:style>
  <w:style w:type="paragraph" w:styleId="7">
    <w:name w:val="annotation subject"/>
    <w:basedOn w:val="2"/>
    <w:next w:val="2"/>
    <w:link w:val="17"/>
    <w:semiHidden/>
    <w:unhideWhenUsed/>
    <w:uiPriority w:val="99"/>
    <w:rPr>
      <w:b/>
      <w:bCs/>
    </w:rPr>
  </w:style>
  <w:style w:type="character" w:styleId="10">
    <w:name w:val="annotation reference"/>
    <w:basedOn w:val="9"/>
    <w:semiHidden/>
    <w:unhideWhenUsed/>
    <w:uiPriority w:val="99"/>
    <w:rPr>
      <w:sz w:val="21"/>
      <w:szCs w:val="21"/>
    </w:rPr>
  </w:style>
  <w:style w:type="character" w:styleId="11">
    <w:name w:val="footnote reference"/>
    <w:basedOn w:val="9"/>
    <w:unhideWhenUsed/>
    <w:qFormat/>
    <w:uiPriority w:val="99"/>
    <w:rPr>
      <w:vertAlign w:val="superscript"/>
    </w:rPr>
  </w:style>
  <w:style w:type="character" w:customStyle="1" w:styleId="12">
    <w:name w:val="页眉 字符"/>
    <w:basedOn w:val="9"/>
    <w:link w:val="5"/>
    <w:uiPriority w:val="99"/>
    <w:rPr>
      <w:rFonts w:ascii="Calibri" w:hAnsi="Calibri" w:eastAsia="宋体" w:cs="Times New Roman"/>
      <w:sz w:val="18"/>
      <w:szCs w:val="18"/>
    </w:rPr>
  </w:style>
  <w:style w:type="character" w:customStyle="1" w:styleId="13">
    <w:name w:val="页脚 字符"/>
    <w:basedOn w:val="9"/>
    <w:link w:val="4"/>
    <w:uiPriority w:val="99"/>
    <w:rPr>
      <w:rFonts w:ascii="Calibri" w:hAnsi="Calibri" w:eastAsia="宋体" w:cs="Times New Roman"/>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9"/>
    <w:link w:val="3"/>
    <w:semiHidden/>
    <w:uiPriority w:val="99"/>
    <w:rPr>
      <w:rFonts w:ascii="Calibri" w:hAnsi="Calibri" w:eastAsia="宋体" w:cs="Times New Roman"/>
      <w:sz w:val="18"/>
      <w:szCs w:val="18"/>
    </w:rPr>
  </w:style>
  <w:style w:type="character" w:customStyle="1" w:styleId="16">
    <w:name w:val="批注文字 字符"/>
    <w:basedOn w:val="9"/>
    <w:link w:val="2"/>
    <w:semiHidden/>
    <w:uiPriority w:val="99"/>
    <w:rPr>
      <w:rFonts w:ascii="Calibri" w:hAnsi="Calibri" w:eastAsia="宋体" w:cs="Times New Roman"/>
    </w:rPr>
  </w:style>
  <w:style w:type="character" w:customStyle="1" w:styleId="17">
    <w:name w:val="批注主题 字符"/>
    <w:basedOn w:val="16"/>
    <w:link w:val="7"/>
    <w:semiHidden/>
    <w:uiPriority w:val="99"/>
    <w:rPr>
      <w:rFonts w:ascii="Calibri" w:hAnsi="Calibri" w:eastAsia="宋体" w:cs="Times New Roman"/>
      <w:b/>
      <w:bCs/>
    </w:rPr>
  </w:style>
  <w:style w:type="character" w:customStyle="1" w:styleId="18">
    <w:name w:val="脚注文本 字符"/>
    <w:basedOn w:val="9"/>
    <w:link w:val="6"/>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948</Words>
  <Characters>1023</Characters>
  <Lines>7</Lines>
  <Paragraphs>2</Paragraphs>
  <TotalTime>0</TotalTime>
  <ScaleCrop>false</ScaleCrop>
  <LinksUpToDate>false</LinksUpToDate>
  <CharactersWithSpaces>1030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2023-03-19T02:20:00Z</dcterms:created>
  <dc:creator>King &amp; Wood Mallesons</dc:creator>
  <cp:lastModifiedBy>WPS_1647774785</cp:lastModifiedBy>
  <cp:lastPrinted>2019-01-29T01:56:00Z</cp:lastPrinted>
  <dcterms:modified xsi:type="dcterms:W3CDTF">2023-08-16T02:12:45Z</dcterms:modified>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806A48737A8B4DC9AFABF92BCB5EAD7E_12</vt:lpwstr>
  </property>
</Properties>
</file>