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Times New Roman" w:hAnsi="Times New Roman" w:eastAsia="方正小标宋简体" w:cs="Times New Roman"/>
          <w:kern w:val="2"/>
          <w:sz w:val="44"/>
          <w:szCs w:val="36"/>
          <w:lang w:val="en-US" w:eastAsia="zh-CN" w:bidi="ar-SA"/>
        </w:rPr>
      </w:pPr>
      <w:r>
        <w:rPr>
          <w:rFonts w:hint="eastAsia" w:ascii="Times New Roman" w:hAnsi="Times New Roman" w:eastAsia="方正小标宋简体" w:cs="Times New Roman"/>
          <w:kern w:val="2"/>
          <w:sz w:val="44"/>
          <w:szCs w:val="36"/>
          <w:lang w:val="en-US" w:eastAsia="zh-CN" w:bidi="ar-SA"/>
        </w:rPr>
        <w:t>经营者集中简易案件公示表</w:t>
      </w:r>
    </w:p>
    <w:tbl>
      <w:tblPr>
        <w:tblStyle w:val="7"/>
        <w:tblW w:w="8972" w:type="dxa"/>
        <w:tblInd w:w="-2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0"/>
        <w:gridCol w:w="2079"/>
        <w:gridCol w:w="51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0" w:type="dxa"/>
            <w:shd w:val="clear" w:color="auto" w:fill="D9D9D9"/>
            <w:vAlign w:val="center"/>
          </w:tcPr>
          <w:p>
            <w:pPr>
              <w:widowControl/>
              <w:adjustRightInd w:val="0"/>
              <w:snapToGrid w:val="0"/>
              <w:spacing w:after="0"/>
              <w:jc w:val="both"/>
              <w:rPr>
                <w:rFonts w:hint="eastAsia" w:ascii="宋体" w:hAnsi="宋体" w:eastAsia="宋体" w:cs="宋体"/>
                <w:bCs/>
                <w:color w:val="000000"/>
                <w:kern w:val="0"/>
                <w:sz w:val="21"/>
                <w:szCs w:val="21"/>
                <w:lang w:val="en-US" w:eastAsia="zh-CN" w:bidi="ar-AE"/>
              </w:rPr>
            </w:pPr>
          </w:p>
          <w:p>
            <w:pPr>
              <w:widowControl/>
              <w:adjustRightInd w:val="0"/>
              <w:snapToGrid w:val="0"/>
              <w:spacing w:after="0"/>
              <w:jc w:val="both"/>
              <w:rPr>
                <w:rFonts w:hint="eastAsia" w:ascii="宋体" w:hAnsi="宋体" w:eastAsia="宋体" w:cs="宋体"/>
                <w:bCs/>
                <w:color w:val="000000"/>
                <w:kern w:val="0"/>
                <w:sz w:val="21"/>
                <w:szCs w:val="21"/>
                <w:lang w:val="en-US" w:eastAsia="zh-CN" w:bidi="ar-AE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1"/>
                <w:szCs w:val="21"/>
                <w:lang w:val="en-US" w:eastAsia="zh-CN" w:bidi="ar-AE"/>
              </w:rPr>
              <w:t>案件名称</w:t>
            </w:r>
          </w:p>
          <w:p>
            <w:pPr>
              <w:widowControl/>
              <w:adjustRightInd w:val="0"/>
              <w:snapToGrid w:val="0"/>
              <w:spacing w:after="0"/>
              <w:jc w:val="both"/>
              <w:rPr>
                <w:rFonts w:hint="eastAsia" w:ascii="宋体" w:hAnsi="宋体" w:eastAsia="宋体" w:cs="宋体"/>
                <w:bCs/>
                <w:color w:val="000000"/>
                <w:kern w:val="0"/>
                <w:sz w:val="21"/>
                <w:szCs w:val="21"/>
                <w:lang w:val="en-US" w:eastAsia="zh-CN" w:bidi="ar-AE"/>
              </w:rPr>
            </w:pPr>
          </w:p>
        </w:tc>
        <w:tc>
          <w:tcPr>
            <w:tcW w:w="7232" w:type="dxa"/>
            <w:gridSpan w:val="2"/>
            <w:vAlign w:val="top"/>
          </w:tcPr>
          <w:p>
            <w:pPr>
              <w:widowControl w:val="0"/>
              <w:adjustRightInd w:val="0"/>
              <w:snapToGrid w:val="0"/>
              <w:spacing w:after="0"/>
              <w:jc w:val="both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-AE"/>
              </w:rPr>
            </w:pPr>
          </w:p>
          <w:p>
            <w:pPr>
              <w:widowControl w:val="0"/>
              <w:adjustRightInd w:val="0"/>
              <w:snapToGrid w:val="0"/>
              <w:spacing w:after="0"/>
              <w:jc w:val="both"/>
              <w:rPr>
                <w:rFonts w:hint="eastAsia" w:ascii="宋体" w:hAnsi="宋体" w:eastAsia="宋体" w:cs="宋体"/>
                <w:bCs/>
                <w:color w:val="000000"/>
                <w:kern w:val="0"/>
                <w:sz w:val="21"/>
                <w:szCs w:val="21"/>
                <w:lang w:val="en-US" w:eastAsia="zh-CN" w:bidi="ar-AE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-AE"/>
              </w:rPr>
              <w:t>广州工业投资控股集团有限公司收购孚能科技（赣州）股份有限公司股权案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1740" w:type="dxa"/>
            <w:shd w:val="clear" w:color="auto" w:fill="D9D9D9"/>
            <w:vAlign w:val="center"/>
          </w:tcPr>
          <w:p>
            <w:pPr>
              <w:widowControl/>
              <w:adjustRightInd w:val="0"/>
              <w:snapToGrid w:val="0"/>
              <w:spacing w:after="0"/>
              <w:jc w:val="both"/>
              <w:rPr>
                <w:rFonts w:hint="eastAsia" w:ascii="宋体" w:hAnsi="宋体" w:eastAsia="宋体" w:cs="宋体"/>
                <w:bCs/>
                <w:color w:val="000000"/>
                <w:kern w:val="0"/>
                <w:sz w:val="21"/>
                <w:szCs w:val="21"/>
                <w:lang w:val="en-US" w:eastAsia="zh-CN" w:bidi="ar-AE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1"/>
                <w:szCs w:val="21"/>
                <w:lang w:val="en-US" w:eastAsia="zh-CN" w:bidi="ar-AE"/>
              </w:rPr>
              <w:t>交易概况</w:t>
            </w: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1"/>
                <w:szCs w:val="21"/>
                <w:lang w:val="en-US" w:eastAsia="zh-CN" w:bidi="ar-AE"/>
              </w:rPr>
              <w:br w:type="textWrapping"/>
            </w: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1"/>
                <w:szCs w:val="21"/>
                <w:lang w:val="en-US" w:eastAsia="zh-CN" w:bidi="ar-AE"/>
              </w:rPr>
              <w:t>（限200字内）</w:t>
            </w:r>
          </w:p>
        </w:tc>
        <w:tc>
          <w:tcPr>
            <w:tcW w:w="7232" w:type="dxa"/>
            <w:gridSpan w:val="2"/>
          </w:tcPr>
          <w:p>
            <w:pPr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bookmarkStart w:id="0" w:name="OLE_LINK11"/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广州工业投资控股集团有限公司</w:t>
            </w: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（“广州工控”）</w:t>
            </w: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、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孚能科技（赣州）股份有限公司</w:t>
            </w: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（“孚能科技”）签署《股权转让协议》，</w:t>
            </w: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约定</w:t>
            </w: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广州工控收购孚能科技共计5%股权，孚能科技</w:t>
            </w: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从事电动汽车用</w:t>
            </w: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锂离子动力电池的研发、生产、销售、服务。</w:t>
            </w: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交易前，Yu Wang</w:t>
            </w:r>
            <w:r>
              <w:rPr>
                <w:rFonts w:hint="eastAsia" w:ascii="宋体" w:hAnsi="宋体" w:cs="宋体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（王瑀）</w:t>
            </w: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通过</w:t>
            </w: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Farasis Energy (Asia Pacific) Limited</w:t>
            </w: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单独控制</w:t>
            </w: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孚能科技</w:t>
            </w: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。</w:t>
            </w: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交易后，广州工控</w:t>
            </w: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连同其一致</w:t>
            </w:r>
            <w:r>
              <w:rPr>
                <w:rFonts w:hint="eastAsia" w:ascii="宋体" w:hAnsi="宋体" w:cs="宋体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行动</w:t>
            </w: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人，合计控制</w:t>
            </w: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孚能科技18.6410%表决权，</w:t>
            </w: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且经营决策由其单独控制，广州</w:t>
            </w:r>
            <w:r>
              <w:rPr>
                <w:rFonts w:hint="eastAsia" w:ascii="宋体" w:hAnsi="宋体" w:cs="宋体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工控</w:t>
            </w: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单独控制孚能科技。</w:t>
            </w:r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740" w:type="dxa"/>
            <w:vMerge w:val="restart"/>
            <w:shd w:val="clear" w:color="auto" w:fill="D9D9D9"/>
            <w:vAlign w:val="center"/>
          </w:tcPr>
          <w:p>
            <w:pPr>
              <w:widowControl/>
              <w:adjustRightInd w:val="0"/>
              <w:snapToGrid w:val="0"/>
              <w:spacing w:after="0"/>
              <w:jc w:val="both"/>
              <w:rPr>
                <w:rFonts w:hint="eastAsia" w:ascii="宋体" w:hAnsi="宋体" w:eastAsia="宋体" w:cs="宋体"/>
                <w:bCs/>
                <w:color w:val="000000"/>
                <w:kern w:val="0"/>
                <w:sz w:val="21"/>
                <w:szCs w:val="21"/>
                <w:lang w:val="en-US" w:eastAsia="zh-CN" w:bidi="ar-AE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1"/>
                <w:szCs w:val="21"/>
                <w:lang w:val="en-US" w:eastAsia="zh-CN" w:bidi="ar-AE"/>
              </w:rPr>
              <w:t>参与集中的</w:t>
            </w: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1"/>
                <w:szCs w:val="21"/>
                <w:lang w:val="en-US" w:eastAsia="zh-CN" w:bidi="ar-AE"/>
              </w:rPr>
              <w:br w:type="textWrapping"/>
            </w: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1"/>
                <w:szCs w:val="21"/>
                <w:lang w:val="en-US" w:eastAsia="zh-CN" w:bidi="ar-AE"/>
              </w:rPr>
              <w:t>经营者简介</w:t>
            </w:r>
          </w:p>
        </w:tc>
        <w:tc>
          <w:tcPr>
            <w:tcW w:w="2079" w:type="dxa"/>
            <w:vAlign w:val="center"/>
          </w:tcPr>
          <w:p>
            <w:pPr>
              <w:numPr>
                <w:ilvl w:val="0"/>
                <w:numId w:val="1"/>
              </w:numPr>
              <w:jc w:val="both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广州工控</w:t>
            </w:r>
          </w:p>
        </w:tc>
        <w:tc>
          <w:tcPr>
            <w:tcW w:w="5153" w:type="dxa"/>
          </w:tcPr>
          <w:p>
            <w:pPr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广州工控于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1978年5月26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Hans"/>
              </w:rPr>
              <w:t>日</w:t>
            </w: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成立于中国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广州市</w:t>
            </w: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，主要业务</w:t>
            </w:r>
            <w:bookmarkStart w:id="1" w:name="OLE_LINK22"/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为</w:t>
            </w: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GB"/>
                <w14:textFill>
                  <w14:solidFill>
                    <w14:schemeClr w14:val="tx1"/>
                  </w14:solidFill>
                </w14:textFill>
              </w:rPr>
              <w:t>先进制造业，包括含建筑工程用机械、起重机、薄膜设备、航空发动机、电梯、自动扶梯等装备制造业</w:t>
            </w: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。</w:t>
            </w:r>
            <w:bookmarkEnd w:id="1"/>
          </w:p>
          <w:p>
            <w:pPr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广州工控</w:t>
            </w: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是广州市人民政府的下属企业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740" w:type="dxa"/>
            <w:vMerge w:val="continue"/>
            <w:shd w:val="clear" w:color="auto" w:fill="D9D9D9"/>
            <w:vAlign w:val="center"/>
          </w:tcPr>
          <w:p>
            <w:pPr>
              <w:widowControl/>
              <w:adjustRightInd w:val="0"/>
              <w:snapToGrid w:val="0"/>
              <w:spacing w:after="0"/>
              <w:jc w:val="both"/>
              <w:rPr>
                <w:rFonts w:hint="eastAsia" w:ascii="宋体" w:hAnsi="宋体" w:eastAsia="宋体" w:cs="宋体"/>
                <w:bCs/>
                <w:color w:val="000000"/>
                <w:kern w:val="0"/>
                <w:sz w:val="21"/>
                <w:szCs w:val="21"/>
                <w:lang w:val="en-US" w:eastAsia="zh-CN" w:bidi="ar-AE"/>
              </w:rPr>
            </w:pPr>
          </w:p>
        </w:tc>
        <w:tc>
          <w:tcPr>
            <w:tcW w:w="2079" w:type="dxa"/>
            <w:vAlign w:val="center"/>
          </w:tcPr>
          <w:p>
            <w:pPr>
              <w:numPr>
                <w:ilvl w:val="0"/>
                <w:numId w:val="1"/>
              </w:numPr>
              <w:ind w:left="0" w:leftChars="0" w:firstLine="0" w:firstLineChars="0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孚能科技</w:t>
            </w:r>
          </w:p>
        </w:tc>
        <w:tc>
          <w:tcPr>
            <w:tcW w:w="5153" w:type="dxa"/>
          </w:tcPr>
          <w:p>
            <w:pPr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孚能科技</w:t>
            </w: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于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2009年12月18日</w:t>
            </w: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成立于中国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江西省</w:t>
            </w: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，</w:t>
            </w: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上海证券交易所上市公司，</w:t>
            </w: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主要业务为</w:t>
            </w:r>
            <w:bookmarkStart w:id="2" w:name="OLE_LINK637"/>
            <w:bookmarkStart w:id="3" w:name="OLE_LINK636"/>
            <w:bookmarkStart w:id="4" w:name="OLE_LINK635"/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电动汽车用</w:t>
            </w: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锂离子动力电池</w:t>
            </w:r>
            <w:bookmarkEnd w:id="2"/>
            <w:bookmarkEnd w:id="3"/>
            <w:bookmarkEnd w:id="4"/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的研发、生产、销售、服务。</w:t>
            </w:r>
          </w:p>
          <w:p>
            <w:pPr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孚能科技</w:t>
            </w: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最终控制人为</w:t>
            </w: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Yu Wang</w:t>
            </w:r>
            <w:r>
              <w:rPr>
                <w:rFonts w:hint="eastAsia" w:ascii="宋体" w:hAnsi="宋体" w:cs="宋体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（王瑀）</w:t>
            </w: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。主要业务为</w:t>
            </w:r>
          </w:p>
          <w:p>
            <w:pPr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电动汽车用锂离子动力电池的研发、生产、销售、服务。</w:t>
            </w:r>
            <w:bookmarkStart w:id="7" w:name="_GoBack"/>
            <w:bookmarkEnd w:id="7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740" w:type="dxa"/>
            <w:vMerge w:val="restart"/>
            <w:shd w:val="clear" w:color="auto" w:fill="D9D9D9"/>
            <w:vAlign w:val="center"/>
          </w:tcPr>
          <w:p>
            <w:pPr>
              <w:widowControl/>
              <w:adjustRightInd w:val="0"/>
              <w:snapToGrid w:val="0"/>
              <w:spacing w:after="0"/>
              <w:jc w:val="both"/>
              <w:rPr>
                <w:rFonts w:hint="eastAsia" w:ascii="宋体" w:hAnsi="宋体" w:eastAsia="宋体" w:cs="宋体"/>
                <w:bCs/>
                <w:color w:val="000000"/>
                <w:kern w:val="0"/>
                <w:sz w:val="21"/>
                <w:szCs w:val="21"/>
                <w:lang w:val="en-US" w:eastAsia="zh-CN" w:bidi="ar-AE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1"/>
                <w:szCs w:val="21"/>
                <w:lang w:val="en-US" w:eastAsia="zh-CN" w:bidi="ar-AE"/>
              </w:rPr>
              <w:t>简易案件理由（可以单选，</w:t>
            </w: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1"/>
                <w:szCs w:val="21"/>
                <w:lang w:val="en-US" w:eastAsia="zh-CN" w:bidi="ar-AE"/>
              </w:rPr>
              <w:br w:type="textWrapping"/>
            </w: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1"/>
                <w:szCs w:val="21"/>
                <w:lang w:val="en-US" w:eastAsia="zh-CN" w:bidi="ar-AE"/>
              </w:rPr>
              <w:t>也可以多选）</w:t>
            </w:r>
          </w:p>
        </w:tc>
        <w:tc>
          <w:tcPr>
            <w:tcW w:w="7232" w:type="dxa"/>
            <w:gridSpan w:val="2"/>
          </w:tcPr>
          <w:p>
            <w:pPr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  <w:lang w:val="en-GB"/>
              </w:rPr>
              <w:sym w:font="Wingdings" w:char="00A8"/>
            </w: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1.在同一相关市场，所有参与集中的经营者所占市场份额之和小于15%。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740" w:type="dxa"/>
            <w:vMerge w:val="continue"/>
            <w:shd w:val="clear" w:color="auto" w:fill="D9D9D9"/>
            <w:vAlign w:val="center"/>
          </w:tcPr>
          <w:p>
            <w:pPr>
              <w:widowControl/>
              <w:adjustRightInd w:val="0"/>
              <w:snapToGrid w:val="0"/>
              <w:spacing w:after="0"/>
              <w:jc w:val="both"/>
              <w:rPr>
                <w:rFonts w:hint="eastAsia" w:ascii="宋体" w:hAnsi="宋体" w:eastAsia="宋体" w:cs="宋体"/>
                <w:bCs/>
                <w:color w:val="000000"/>
                <w:kern w:val="0"/>
                <w:sz w:val="21"/>
                <w:szCs w:val="21"/>
                <w:lang w:val="en-US" w:eastAsia="zh-CN" w:bidi="ar-AE"/>
              </w:rPr>
            </w:pPr>
          </w:p>
        </w:tc>
        <w:tc>
          <w:tcPr>
            <w:tcW w:w="7232" w:type="dxa"/>
            <w:gridSpan w:val="2"/>
          </w:tcPr>
          <w:p>
            <w:pPr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sym w:font="Wingdings" w:char="F0A8"/>
            </w: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2.存在上下游关系的参与集中的经营者，在上下游市场所占的市场份额均小于25%。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740" w:type="dxa"/>
            <w:vMerge w:val="continue"/>
            <w:shd w:val="clear" w:color="auto" w:fill="D9D9D9"/>
            <w:vAlign w:val="center"/>
          </w:tcPr>
          <w:p>
            <w:pPr>
              <w:widowControl/>
              <w:adjustRightInd w:val="0"/>
              <w:snapToGrid w:val="0"/>
              <w:spacing w:after="0"/>
              <w:jc w:val="both"/>
              <w:rPr>
                <w:rFonts w:hint="eastAsia" w:ascii="宋体" w:hAnsi="宋体" w:eastAsia="宋体" w:cs="宋体"/>
                <w:bCs/>
                <w:color w:val="000000"/>
                <w:kern w:val="0"/>
                <w:sz w:val="21"/>
                <w:szCs w:val="21"/>
                <w:lang w:val="en-US" w:eastAsia="zh-CN" w:bidi="ar-AE"/>
              </w:rPr>
            </w:pPr>
          </w:p>
        </w:tc>
        <w:tc>
          <w:tcPr>
            <w:tcW w:w="7232" w:type="dxa"/>
            <w:gridSpan w:val="2"/>
          </w:tcPr>
          <w:p>
            <w:pPr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sym w:font="Wingdings" w:char="00FE"/>
            </w: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3.不在同一相关市场、也不存在上下游关系的参与集中的经营者，在与交易有关的每个市场所占的份额均小于25%。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740" w:type="dxa"/>
            <w:vMerge w:val="continue"/>
            <w:shd w:val="clear" w:color="auto" w:fill="D9D9D9"/>
            <w:vAlign w:val="center"/>
          </w:tcPr>
          <w:p>
            <w:pPr>
              <w:widowControl/>
              <w:adjustRightInd w:val="0"/>
              <w:snapToGrid w:val="0"/>
              <w:spacing w:after="0"/>
              <w:jc w:val="both"/>
              <w:rPr>
                <w:rFonts w:hint="eastAsia" w:ascii="宋体" w:hAnsi="宋体" w:eastAsia="宋体" w:cs="宋体"/>
                <w:bCs/>
                <w:color w:val="000000"/>
                <w:kern w:val="0"/>
                <w:sz w:val="21"/>
                <w:szCs w:val="21"/>
                <w:lang w:val="en-US" w:eastAsia="zh-CN" w:bidi="ar-AE"/>
              </w:rPr>
            </w:pPr>
          </w:p>
        </w:tc>
        <w:tc>
          <w:tcPr>
            <w:tcW w:w="7232" w:type="dxa"/>
            <w:gridSpan w:val="2"/>
          </w:tcPr>
          <w:p>
            <w:pPr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sym w:font="Wingdings" w:char="F0A8"/>
            </w: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4.参与集中的经营者在中国境外设立合营企业，合营企业不在中国境内从事经济活动。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740" w:type="dxa"/>
            <w:vMerge w:val="continue"/>
            <w:shd w:val="clear" w:color="auto" w:fill="D9D9D9"/>
            <w:vAlign w:val="center"/>
          </w:tcPr>
          <w:p>
            <w:pPr>
              <w:widowControl/>
              <w:adjustRightInd w:val="0"/>
              <w:snapToGrid w:val="0"/>
              <w:spacing w:after="0"/>
              <w:jc w:val="both"/>
              <w:rPr>
                <w:rFonts w:hint="eastAsia" w:ascii="宋体" w:hAnsi="宋体" w:eastAsia="宋体" w:cs="宋体"/>
                <w:bCs/>
                <w:color w:val="000000"/>
                <w:kern w:val="0"/>
                <w:sz w:val="21"/>
                <w:szCs w:val="21"/>
                <w:lang w:val="en-US" w:eastAsia="zh-CN" w:bidi="ar-AE"/>
              </w:rPr>
            </w:pPr>
          </w:p>
        </w:tc>
        <w:tc>
          <w:tcPr>
            <w:tcW w:w="7232" w:type="dxa"/>
            <w:gridSpan w:val="2"/>
          </w:tcPr>
          <w:p>
            <w:pPr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sym w:font="Wingdings" w:char="F0A8"/>
            </w: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5.参与集中的经营者收购境外企业股权或资产的，该境外企业不在中国境内从事经济活动。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740" w:type="dxa"/>
            <w:vMerge w:val="continue"/>
            <w:shd w:val="clear" w:color="auto" w:fill="D9D9D9"/>
            <w:vAlign w:val="center"/>
          </w:tcPr>
          <w:p>
            <w:pPr>
              <w:widowControl/>
              <w:adjustRightInd w:val="0"/>
              <w:snapToGrid w:val="0"/>
              <w:spacing w:after="0"/>
              <w:jc w:val="both"/>
              <w:rPr>
                <w:rFonts w:hint="eastAsia" w:ascii="宋体" w:hAnsi="宋体" w:eastAsia="宋体" w:cs="宋体"/>
                <w:bCs/>
                <w:color w:val="000000"/>
                <w:kern w:val="0"/>
                <w:sz w:val="21"/>
                <w:szCs w:val="21"/>
                <w:lang w:val="en-US" w:eastAsia="zh-CN" w:bidi="ar-AE"/>
              </w:rPr>
            </w:pPr>
          </w:p>
        </w:tc>
        <w:tc>
          <w:tcPr>
            <w:tcW w:w="7232" w:type="dxa"/>
            <w:gridSpan w:val="2"/>
          </w:tcPr>
          <w:p>
            <w:pPr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sym w:font="Wingdings" w:char="F0A8"/>
            </w: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6.由两个以上的经营者共同控制的合营企业，通过集中被其中一个或一个以上经营者控制。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0" w:type="dxa"/>
            <w:shd w:val="clear" w:color="auto" w:fill="D9D9D9"/>
            <w:vAlign w:val="center"/>
          </w:tcPr>
          <w:p>
            <w:pPr>
              <w:widowControl/>
              <w:adjustRightInd w:val="0"/>
              <w:snapToGrid w:val="0"/>
              <w:spacing w:after="0"/>
              <w:jc w:val="both"/>
              <w:rPr>
                <w:rFonts w:hint="eastAsia" w:ascii="宋体" w:hAnsi="宋体" w:eastAsia="宋体" w:cs="宋体"/>
                <w:bCs/>
                <w:color w:val="000000"/>
                <w:kern w:val="0"/>
                <w:sz w:val="21"/>
                <w:szCs w:val="21"/>
                <w:lang w:val="en-US" w:eastAsia="zh-CN" w:bidi="ar-AE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1"/>
                <w:szCs w:val="21"/>
                <w:lang w:val="en-US" w:eastAsia="zh-CN" w:bidi="ar-AE"/>
              </w:rPr>
              <w:t>备注</w:t>
            </w:r>
          </w:p>
        </w:tc>
        <w:tc>
          <w:tcPr>
            <w:tcW w:w="7232" w:type="dxa"/>
            <w:gridSpan w:val="2"/>
          </w:tcPr>
          <w:p>
            <w:pPr>
              <w:rPr>
                <w:rFonts w:hint="eastAsia" w:ascii="宋体" w:hAnsi="宋体" w:eastAsia="宋体" w:cs="宋体"/>
                <w:b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混合集中</w:t>
            </w:r>
          </w:p>
          <w:p>
            <w:pPr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2022年中国境内</w:t>
            </w:r>
            <w:bookmarkStart w:id="5" w:name="OLE_LINK639"/>
            <w:bookmarkStart w:id="6" w:name="OLE_LINK638"/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电动汽车用</w:t>
            </w: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锂离子动力电池市场</w:t>
            </w:r>
            <w:bookmarkEnd w:id="5"/>
            <w:bookmarkEnd w:id="6"/>
          </w:p>
          <w:p>
            <w:pPr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孚能科技：0-5%</w:t>
            </w:r>
          </w:p>
        </w:tc>
      </w:tr>
    </w:tbl>
    <w:p>
      <w:pPr>
        <w:rPr>
          <w:rFonts w:ascii="Times New Roman" w:hAnsi="Times New Roman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2000609000000000000"/>
    <w:charset w:val="02"/>
    <w:family w:val="roman"/>
    <w:pitch w:val="default"/>
    <w:sig w:usb0="800000AF" w:usb1="4000204A" w:usb2="00000000" w:usb3="00000000" w:csb0="2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panose1 w:val="02000000000000000000"/>
    <w:charset w:val="86"/>
    <w:family w:val="script"/>
    <w:pitch w:val="default"/>
    <w:sig w:usb0="A00002BF" w:usb1="184F6CFA" w:usb2="00000012" w:usb3="00000000" w:csb0="00040001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C296BE"/>
    <w:multiLevelType w:val="singleLevel"/>
    <w:tmpl w:val="08C296BE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true"/>
  <w:bordersDoNotSurroundHeader w:val="true"/>
  <w:bordersDoNotSurroundFooter w:val="true"/>
  <w:documentProtection w:enforcement="0"/>
  <w:defaultTabStop w:val="420"/>
  <w:drawingGridVerticalSpacing w:val="156"/>
  <w:noPunctuationKerning w:val="true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WUwMDI0MjYzMDMwNmYyNzJlZDU0YmJlYTE4Yjk0YTkifQ=="/>
  </w:docVars>
  <w:rsids>
    <w:rsidRoot w:val="00B878BA"/>
    <w:rsid w:val="000A6D62"/>
    <w:rsid w:val="000E3E3B"/>
    <w:rsid w:val="000E55B3"/>
    <w:rsid w:val="000F0CFE"/>
    <w:rsid w:val="00157380"/>
    <w:rsid w:val="00271A29"/>
    <w:rsid w:val="003A2BBE"/>
    <w:rsid w:val="004041F4"/>
    <w:rsid w:val="00490102"/>
    <w:rsid w:val="005111F1"/>
    <w:rsid w:val="00514114"/>
    <w:rsid w:val="00521AED"/>
    <w:rsid w:val="00590116"/>
    <w:rsid w:val="005C43FA"/>
    <w:rsid w:val="005E25E8"/>
    <w:rsid w:val="0062312B"/>
    <w:rsid w:val="006435BD"/>
    <w:rsid w:val="00677B3D"/>
    <w:rsid w:val="0069038A"/>
    <w:rsid w:val="006963C4"/>
    <w:rsid w:val="00774E6B"/>
    <w:rsid w:val="0078104A"/>
    <w:rsid w:val="00783DFD"/>
    <w:rsid w:val="008803BF"/>
    <w:rsid w:val="008B2C71"/>
    <w:rsid w:val="008D0A77"/>
    <w:rsid w:val="009020A1"/>
    <w:rsid w:val="00905640"/>
    <w:rsid w:val="00932965"/>
    <w:rsid w:val="00A51871"/>
    <w:rsid w:val="00AC118A"/>
    <w:rsid w:val="00AD3465"/>
    <w:rsid w:val="00B878BA"/>
    <w:rsid w:val="00BB5170"/>
    <w:rsid w:val="00C17FEF"/>
    <w:rsid w:val="00DA051B"/>
    <w:rsid w:val="00DC542B"/>
    <w:rsid w:val="00DE5765"/>
    <w:rsid w:val="00DF5805"/>
    <w:rsid w:val="00E06C58"/>
    <w:rsid w:val="00E12955"/>
    <w:rsid w:val="00E52761"/>
    <w:rsid w:val="00E679B0"/>
    <w:rsid w:val="00ED2CA2"/>
    <w:rsid w:val="00FA70AD"/>
    <w:rsid w:val="02A7308C"/>
    <w:rsid w:val="4EF62CF9"/>
    <w:rsid w:val="7BAB0D2A"/>
    <w:rsid w:val="BFFFA6A5"/>
    <w:rsid w:val="FCEFA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spacing w:after="156" w:afterLines="50" w:line="640" w:lineRule="exact"/>
      <w:outlineLvl w:val="0"/>
    </w:pPr>
    <w:rPr>
      <w:rFonts w:ascii="方正小标宋简体" w:eastAsia="方正小标宋简体"/>
      <w:sz w:val="44"/>
      <w:szCs w:val="36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12"/>
    <w:semiHidden/>
    <w:unhideWhenUsed/>
    <w:qFormat/>
    <w:uiPriority w:val="99"/>
    <w:pPr>
      <w:jc w:val="left"/>
    </w:pPr>
  </w:style>
  <w:style w:type="paragraph" w:styleId="4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annotation subject"/>
    <w:basedOn w:val="3"/>
    <w:next w:val="3"/>
    <w:link w:val="13"/>
    <w:semiHidden/>
    <w:unhideWhenUsed/>
    <w:qFormat/>
    <w:uiPriority w:val="99"/>
    <w:rPr>
      <w:b/>
      <w:bCs/>
    </w:rPr>
  </w:style>
  <w:style w:type="character" w:styleId="9">
    <w:name w:val="annotation reference"/>
    <w:basedOn w:val="8"/>
    <w:semiHidden/>
    <w:unhideWhenUsed/>
    <w:qFormat/>
    <w:uiPriority w:val="99"/>
    <w:rPr>
      <w:sz w:val="21"/>
      <w:szCs w:val="21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paragraph" w:customStyle="1" w:styleId="11">
    <w:name w:val="Revision"/>
    <w:hidden/>
    <w:semiHidden/>
    <w:qFormat/>
    <w:uiPriority w:val="99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2">
    <w:name w:val="批注文字 字符"/>
    <w:basedOn w:val="8"/>
    <w:link w:val="3"/>
    <w:semiHidden/>
    <w:qFormat/>
    <w:uiPriority w:val="99"/>
    <w:rPr>
      <w:rFonts w:ascii="Calibri" w:hAnsi="Calibri"/>
      <w:kern w:val="2"/>
      <w:sz w:val="21"/>
      <w:szCs w:val="22"/>
    </w:rPr>
  </w:style>
  <w:style w:type="character" w:customStyle="1" w:styleId="13">
    <w:name w:val="批注主题 字符"/>
    <w:basedOn w:val="12"/>
    <w:link w:val="6"/>
    <w:semiHidden/>
    <w:qFormat/>
    <w:uiPriority w:val="99"/>
    <w:rPr>
      <w:rFonts w:ascii="Calibri" w:hAnsi="Calibri"/>
      <w:b/>
      <w:bCs/>
      <w:kern w:val="2"/>
      <w:sz w:val="21"/>
      <w:szCs w:val="22"/>
    </w:rPr>
  </w:style>
  <w:style w:type="character" w:customStyle="1" w:styleId="14">
    <w:name w:val="页眉 字符"/>
    <w:basedOn w:val="8"/>
    <w:link w:val="5"/>
    <w:qFormat/>
    <w:uiPriority w:val="99"/>
    <w:rPr>
      <w:rFonts w:ascii="Calibri" w:hAnsi="Calibri"/>
      <w:kern w:val="2"/>
      <w:sz w:val="18"/>
      <w:szCs w:val="18"/>
    </w:rPr>
  </w:style>
  <w:style w:type="character" w:customStyle="1" w:styleId="15">
    <w:name w:val="页脚 字符"/>
    <w:basedOn w:val="8"/>
    <w:link w:val="4"/>
    <w:qFormat/>
    <w:uiPriority w:val="99"/>
    <w:rPr>
      <w:rFonts w:ascii="Calibri" w:hAnsi="Calibr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749</Words>
  <Characters>822</Characters>
  <Lines>6</Lines>
  <Paragraphs>1</Paragraphs>
  <TotalTime>2</TotalTime>
  <ScaleCrop>false</ScaleCrop>
  <LinksUpToDate>false</LinksUpToDate>
  <CharactersWithSpaces>834</CharactersWithSpaces>
  <Application>WPS Office_11.8.2.10125_F1E327BC-269C-435d-A152-05C5408002CA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2023-08-01T22:11:00Z</dcterms:created>
  <dc:creator>LJ Y</dc:creator>
  <cp:lastModifiedBy>scj</cp:lastModifiedBy>
  <dcterms:modified xsi:type="dcterms:W3CDTF">2023-08-24T10:11:56Z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2052-11.8.2.10125</vt:lpwstr>
  </property>
  <property fmtid="{D5CDD505-2E9C-101B-9397-08002B2CF9AE}" pid="3" name="ICV">
    <vt:lpwstr>9B937416B56EA47F1944C663838A56F3</vt:lpwstr>
  </property>
</Properties>
</file>