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8"/>
                <w:szCs w:val="28"/>
              </w:rPr>
            </w:pPr>
            <w:r>
              <w:rPr>
                <w:rFonts w:hint="eastAsia" w:ascii="仿宋" w:hAnsi="仿宋" w:eastAsia="仿宋" w:cs="宋体"/>
                <w:color w:val="333333"/>
                <w:kern w:val="0"/>
                <w:sz w:val="28"/>
                <w:szCs w:val="28"/>
              </w:rPr>
              <w:t>案件名称</w:t>
            </w:r>
          </w:p>
        </w:tc>
        <w:tc>
          <w:tcPr>
            <w:tcW w:w="6949" w:type="dxa"/>
            <w:gridSpan w:val="2"/>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宣城新奥燃气股份有限公司与中石化长城燃气投资有限公司新设合营企业案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8"/>
                <w:szCs w:val="28"/>
              </w:rPr>
            </w:pPr>
            <w:r>
              <w:rPr>
                <w:rFonts w:hint="eastAsia" w:ascii="仿宋" w:hAnsi="仿宋" w:eastAsia="仿宋" w:cs="宋体"/>
                <w:color w:val="333333"/>
                <w:kern w:val="0"/>
                <w:sz w:val="28"/>
                <w:szCs w:val="28"/>
              </w:rPr>
              <w:t>交易概况</w:t>
            </w:r>
          </w:p>
          <w:p>
            <w:pPr>
              <w:spacing w:line="500" w:lineRule="exact"/>
              <w:jc w:val="center"/>
              <w:rPr>
                <w:rFonts w:ascii="仿宋" w:hAnsi="仿宋" w:eastAsia="仿宋" w:cs="宋体"/>
                <w:color w:val="333333"/>
                <w:kern w:val="0"/>
                <w:sz w:val="28"/>
                <w:szCs w:val="28"/>
              </w:rPr>
            </w:pPr>
            <w:r>
              <w:rPr>
                <w:rFonts w:hint="eastAsia" w:ascii="仿宋" w:hAnsi="仿宋" w:eastAsia="仿宋" w:cs="宋体"/>
                <w:color w:val="333333"/>
                <w:kern w:val="0"/>
                <w:sz w:val="28"/>
                <w:szCs w:val="28"/>
              </w:rPr>
              <w:t>（限200字内）</w:t>
            </w:r>
          </w:p>
        </w:tc>
        <w:tc>
          <w:tcPr>
            <w:tcW w:w="6949" w:type="dxa"/>
            <w:gridSpan w:val="2"/>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宣城新奥燃气股份有限公司（“宣城新奥”）与中石化长城燃气投资有限公司（“长城燃气”）签署协议，共同出资设立合营企业。合营企业负责天然气支线管道及配套设施的运营，向宣城新奥供应天然气。交易后，宣城新奥和长城燃气将分别持有合营企业5</w:t>
            </w:r>
            <w:r>
              <w:rPr>
                <w:rFonts w:ascii="仿宋" w:hAnsi="仿宋" w:eastAsia="仿宋" w:cs="宋体"/>
                <w:color w:val="333333"/>
                <w:kern w:val="0"/>
                <w:sz w:val="28"/>
                <w:szCs w:val="28"/>
              </w:rPr>
              <w:t>0%</w:t>
            </w:r>
            <w:r>
              <w:rPr>
                <w:rFonts w:hint="eastAsia" w:ascii="仿宋" w:hAnsi="仿宋" w:eastAsia="仿宋" w:cs="宋体"/>
                <w:color w:val="333333"/>
                <w:kern w:val="0"/>
                <w:sz w:val="28"/>
                <w:szCs w:val="28"/>
              </w:rPr>
              <w:t>、5</w:t>
            </w:r>
            <w:r>
              <w:rPr>
                <w:rFonts w:ascii="仿宋" w:hAnsi="仿宋" w:eastAsia="仿宋" w:cs="宋体"/>
                <w:color w:val="333333"/>
                <w:kern w:val="0"/>
                <w:sz w:val="28"/>
                <w:szCs w:val="28"/>
              </w:rPr>
              <w:t>0%</w:t>
            </w:r>
            <w:r>
              <w:rPr>
                <w:rFonts w:hint="eastAsia" w:ascii="仿宋" w:hAnsi="仿宋" w:eastAsia="仿宋" w:cs="宋体"/>
                <w:color w:val="333333"/>
                <w:kern w:val="0"/>
                <w:sz w:val="28"/>
                <w:szCs w:val="28"/>
              </w:rPr>
              <w:t>的股份，并共同控制合营企业。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8"/>
                <w:szCs w:val="28"/>
              </w:rPr>
            </w:pPr>
            <w:r>
              <w:rPr>
                <w:rFonts w:hint="eastAsia" w:ascii="仿宋" w:hAnsi="仿宋" w:eastAsia="仿宋" w:cs="宋体"/>
                <w:color w:val="333333"/>
                <w:kern w:val="0"/>
                <w:sz w:val="28"/>
                <w:szCs w:val="28"/>
              </w:rPr>
              <w:t>参与集中的</w:t>
            </w:r>
          </w:p>
          <w:p>
            <w:pPr>
              <w:spacing w:line="500" w:lineRule="exact"/>
              <w:jc w:val="center"/>
              <w:rPr>
                <w:rFonts w:ascii="仿宋" w:hAnsi="仿宋" w:eastAsia="仿宋" w:cs="宋体"/>
                <w:color w:val="333333"/>
                <w:kern w:val="0"/>
                <w:sz w:val="28"/>
                <w:szCs w:val="28"/>
              </w:rPr>
            </w:pPr>
            <w:r>
              <w:rPr>
                <w:rFonts w:hint="eastAsia" w:ascii="仿宋" w:hAnsi="仿宋" w:eastAsia="仿宋" w:cs="宋体"/>
                <w:color w:val="333333"/>
                <w:kern w:val="0"/>
                <w:sz w:val="28"/>
                <w:szCs w:val="28"/>
              </w:rPr>
              <w:t>经营者简介</w:t>
            </w:r>
          </w:p>
        </w:tc>
        <w:tc>
          <w:tcPr>
            <w:tcW w:w="1796" w:type="dxa"/>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1、宣城新奥</w:t>
            </w:r>
          </w:p>
        </w:tc>
        <w:tc>
          <w:tcPr>
            <w:tcW w:w="5153" w:type="dxa"/>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宣城新奥于2003年</w:t>
            </w:r>
            <w:r>
              <w:rPr>
                <w:rFonts w:ascii="仿宋" w:hAnsi="仿宋" w:eastAsia="仿宋" w:cs="宋体"/>
                <w:color w:val="333333"/>
                <w:kern w:val="0"/>
                <w:sz w:val="28"/>
                <w:szCs w:val="28"/>
              </w:rPr>
              <w:t>3</w:t>
            </w:r>
            <w:r>
              <w:rPr>
                <w:rFonts w:hint="eastAsia" w:ascii="仿宋" w:hAnsi="仿宋" w:eastAsia="仿宋" w:cs="宋体"/>
                <w:color w:val="333333"/>
                <w:kern w:val="0"/>
                <w:sz w:val="28"/>
                <w:szCs w:val="28"/>
              </w:rPr>
              <w:t>月</w:t>
            </w:r>
            <w:r>
              <w:rPr>
                <w:rFonts w:ascii="仿宋" w:hAnsi="仿宋" w:eastAsia="仿宋" w:cs="宋体"/>
                <w:color w:val="333333"/>
                <w:kern w:val="0"/>
                <w:sz w:val="28"/>
                <w:szCs w:val="28"/>
              </w:rPr>
              <w:t>22</w:t>
            </w:r>
            <w:r>
              <w:rPr>
                <w:rFonts w:hint="eastAsia" w:ascii="仿宋" w:hAnsi="仿宋" w:eastAsia="仿宋" w:cs="宋体"/>
                <w:color w:val="333333"/>
                <w:kern w:val="0"/>
                <w:sz w:val="28"/>
                <w:szCs w:val="28"/>
              </w:rPr>
              <w:t>日</w:t>
            </w:r>
            <w:r>
              <w:rPr>
                <w:rFonts w:ascii="仿宋" w:hAnsi="仿宋" w:eastAsia="仿宋" w:cs="宋体"/>
                <w:color w:val="333333"/>
                <w:kern w:val="0"/>
                <w:sz w:val="28"/>
                <w:szCs w:val="28"/>
              </w:rPr>
              <w:t>成立</w:t>
            </w:r>
            <w:r>
              <w:rPr>
                <w:rFonts w:hint="eastAsia" w:ascii="仿宋" w:hAnsi="仿宋" w:eastAsia="仿宋" w:cs="宋体"/>
                <w:color w:val="333333"/>
                <w:kern w:val="0"/>
                <w:sz w:val="28"/>
                <w:szCs w:val="28"/>
              </w:rPr>
              <w:t>于中国安徽省，主要业务为城镇燃气销售等。</w:t>
            </w:r>
          </w:p>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宣城新奥最终控制人为自然人，自然人主要业务为天然气</w:t>
            </w:r>
            <w:bookmarkStart w:id="0" w:name="_Hlk115256500"/>
            <w:r>
              <w:rPr>
                <w:rFonts w:hint="eastAsia" w:ascii="仿宋" w:hAnsi="仿宋" w:eastAsia="仿宋" w:cs="宋体"/>
                <w:color w:val="333333"/>
                <w:kern w:val="0"/>
                <w:sz w:val="28"/>
                <w:szCs w:val="28"/>
              </w:rPr>
              <w:t>分销、输储</w:t>
            </w:r>
            <w:bookmarkEnd w:id="0"/>
            <w:r>
              <w:rPr>
                <w:rFonts w:hint="eastAsia" w:ascii="仿宋" w:hAnsi="仿宋" w:eastAsia="仿宋" w:cs="宋体"/>
                <w:color w:val="333333"/>
                <w:kern w:val="0"/>
                <w:sz w:val="28"/>
                <w:szCs w:val="28"/>
              </w:rPr>
              <w:t>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8"/>
                <w:szCs w:val="28"/>
              </w:rPr>
            </w:pPr>
          </w:p>
        </w:tc>
        <w:tc>
          <w:tcPr>
            <w:tcW w:w="1796" w:type="dxa"/>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2、长城燃气</w:t>
            </w:r>
          </w:p>
        </w:tc>
        <w:tc>
          <w:tcPr>
            <w:tcW w:w="5153" w:type="dxa"/>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长城燃气于2017年10月16日成立于中国北京市，主要业务为天然气销售、供热服务等。</w:t>
            </w:r>
          </w:p>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长城燃气最终控制人为中国石油化工集团有限公司，主要业务为油气开发、储运和销售，石油化工产品的生产和销售等。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8"/>
                <w:szCs w:val="28"/>
              </w:rPr>
            </w:pPr>
            <w:r>
              <w:rPr>
                <w:rFonts w:hint="eastAsia" w:ascii="仿宋" w:hAnsi="仿宋" w:eastAsia="仿宋" w:cs="宋体"/>
                <w:color w:val="333333"/>
                <w:kern w:val="0"/>
                <w:sz w:val="28"/>
                <w:szCs w:val="28"/>
              </w:rPr>
              <w:t>简易案件理由（可以单选，也可以多选）</w:t>
            </w:r>
          </w:p>
        </w:tc>
        <w:tc>
          <w:tcPr>
            <w:tcW w:w="6949" w:type="dxa"/>
            <w:gridSpan w:val="2"/>
          </w:tcPr>
          <w:p>
            <w:pPr>
              <w:spacing w:line="500" w:lineRule="exact"/>
              <w:rPr>
                <w:rFonts w:ascii="仿宋" w:hAnsi="仿宋" w:eastAsia="仿宋" w:cs="宋体"/>
                <w:color w:val="333333"/>
                <w:kern w:val="0"/>
                <w:sz w:val="28"/>
                <w:szCs w:val="28"/>
              </w:rPr>
            </w:pPr>
            <w:r>
              <w:rPr>
                <w:rFonts w:ascii="仿宋_GB2312" w:hAnsi="Times New Roman" w:eastAsia="仿宋_GB2312"/>
                <w:kern w:val="0"/>
                <w:sz w:val="28"/>
                <w:szCs w:val="28"/>
              </w:rPr>
              <w:sym w:font="Wingdings 2" w:char="F052"/>
            </w:r>
            <w:r>
              <w:rPr>
                <w:rFonts w:hint="eastAsia" w:ascii="仿宋" w:hAnsi="仿宋" w:eastAsia="仿宋" w:cs="宋体"/>
                <w:color w:val="333333"/>
                <w:kern w:val="0"/>
                <w:sz w:val="28"/>
                <w:szCs w:val="28"/>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8"/>
                <w:szCs w:val="28"/>
              </w:rPr>
            </w:pPr>
          </w:p>
        </w:tc>
        <w:tc>
          <w:tcPr>
            <w:tcW w:w="6949" w:type="dxa"/>
            <w:gridSpan w:val="2"/>
          </w:tcPr>
          <w:p>
            <w:pPr>
              <w:spacing w:line="500" w:lineRule="exact"/>
              <w:rPr>
                <w:rFonts w:ascii="仿宋" w:hAnsi="仿宋" w:eastAsia="仿宋" w:cs="宋体"/>
                <w:color w:val="333333"/>
                <w:kern w:val="0"/>
                <w:sz w:val="28"/>
                <w:szCs w:val="28"/>
              </w:rPr>
            </w:pPr>
            <w:r>
              <w:rPr>
                <w:rFonts w:ascii="仿宋_GB2312" w:hAnsi="Times New Roman" w:eastAsia="仿宋_GB2312"/>
                <w:kern w:val="0"/>
                <w:sz w:val="28"/>
                <w:szCs w:val="28"/>
              </w:rPr>
              <w:sym w:font="Wingdings 2" w:char="F052"/>
            </w:r>
            <w:r>
              <w:rPr>
                <w:rFonts w:hint="eastAsia" w:ascii="仿宋" w:hAnsi="仿宋" w:eastAsia="仿宋" w:cs="宋体"/>
                <w:color w:val="333333"/>
                <w:kern w:val="0"/>
                <w:sz w:val="28"/>
                <w:szCs w:val="28"/>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8"/>
                <w:szCs w:val="28"/>
              </w:rPr>
            </w:pPr>
          </w:p>
        </w:tc>
        <w:tc>
          <w:tcPr>
            <w:tcW w:w="6949" w:type="dxa"/>
            <w:gridSpan w:val="2"/>
          </w:tcPr>
          <w:p>
            <w:pPr>
              <w:spacing w:line="500" w:lineRule="exact"/>
              <w:rPr>
                <w:rFonts w:ascii="仿宋" w:hAnsi="仿宋" w:eastAsia="仿宋" w:cs="宋体"/>
                <w:color w:val="333333"/>
                <w:kern w:val="0"/>
                <w:sz w:val="28"/>
                <w:szCs w:val="28"/>
              </w:rPr>
            </w:pPr>
            <w:r>
              <w:rPr>
                <w:rFonts w:ascii="仿宋_GB2312" w:hAnsi="Times New Roman" w:eastAsia="仿宋_GB2312"/>
                <w:kern w:val="0"/>
                <w:sz w:val="28"/>
                <w:szCs w:val="28"/>
              </w:rPr>
              <w:sym w:font="Wingdings 2" w:char="F052"/>
            </w:r>
            <w:r>
              <w:rPr>
                <w:rFonts w:hint="eastAsia" w:ascii="仿宋" w:hAnsi="仿宋" w:eastAsia="仿宋" w:cs="宋体"/>
                <w:color w:val="333333"/>
                <w:kern w:val="0"/>
                <w:sz w:val="28"/>
                <w:szCs w:val="28"/>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8"/>
                <w:szCs w:val="28"/>
              </w:rPr>
            </w:pPr>
          </w:p>
        </w:tc>
        <w:tc>
          <w:tcPr>
            <w:tcW w:w="6949" w:type="dxa"/>
            <w:gridSpan w:val="2"/>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8"/>
                <w:szCs w:val="28"/>
              </w:rPr>
            </w:pPr>
          </w:p>
        </w:tc>
        <w:tc>
          <w:tcPr>
            <w:tcW w:w="6949" w:type="dxa"/>
            <w:gridSpan w:val="2"/>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8"/>
                <w:szCs w:val="28"/>
              </w:rPr>
            </w:pPr>
          </w:p>
        </w:tc>
        <w:tc>
          <w:tcPr>
            <w:tcW w:w="6949" w:type="dxa"/>
            <w:gridSpan w:val="2"/>
          </w:tcPr>
          <w:p>
            <w:pPr>
              <w:spacing w:line="500" w:lineRule="exact"/>
              <w:rPr>
                <w:rFonts w:ascii="仿宋" w:hAnsi="仿宋" w:eastAsia="仿宋" w:cs="宋体"/>
                <w:color w:val="333333"/>
                <w:kern w:val="0"/>
                <w:sz w:val="28"/>
                <w:szCs w:val="28"/>
              </w:rPr>
            </w:pPr>
            <w:r>
              <w:rPr>
                <w:rFonts w:hint="eastAsia" w:ascii="仿宋" w:hAnsi="仿宋" w:eastAsia="仿宋" w:cs="宋体"/>
                <w:color w:val="333333"/>
                <w:kern w:val="0"/>
                <w:sz w:val="28"/>
                <w:szCs w:val="28"/>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58" w:hRule="atLeast"/>
        </w:trPr>
        <w:tc>
          <w:tcPr>
            <w:tcW w:w="1809" w:type="dxa"/>
            <w:shd w:val="clear" w:color="auto" w:fill="D9D9D9"/>
            <w:vAlign w:val="center"/>
          </w:tcPr>
          <w:p>
            <w:pPr>
              <w:spacing w:line="500" w:lineRule="exact"/>
              <w:jc w:val="center"/>
              <w:rPr>
                <w:rFonts w:ascii="仿宋" w:hAnsi="仿宋" w:eastAsia="仿宋" w:cs="宋体"/>
                <w:color w:val="333333"/>
                <w:kern w:val="0"/>
                <w:sz w:val="28"/>
                <w:szCs w:val="28"/>
              </w:rPr>
            </w:pPr>
            <w:r>
              <w:rPr>
                <w:rFonts w:hint="eastAsia" w:ascii="仿宋" w:hAnsi="仿宋" w:eastAsia="仿宋" w:cs="宋体"/>
                <w:color w:val="333333"/>
                <w:kern w:val="0"/>
                <w:sz w:val="28"/>
                <w:szCs w:val="28"/>
              </w:rPr>
              <w:t>备注</w:t>
            </w:r>
          </w:p>
        </w:tc>
        <w:tc>
          <w:tcPr>
            <w:tcW w:w="6949" w:type="dxa"/>
            <w:gridSpan w:val="2"/>
          </w:tcPr>
          <w:p>
            <w:pPr>
              <w:spacing w:line="500" w:lineRule="exact"/>
              <w:rPr>
                <w:rFonts w:ascii="仿宋_GB2312" w:hAnsi="Times New Roman" w:eastAsia="仿宋_GB2312"/>
                <w:b/>
                <w:bCs/>
                <w:sz w:val="28"/>
                <w:szCs w:val="28"/>
              </w:rPr>
            </w:pPr>
            <w:r>
              <w:rPr>
                <w:rFonts w:hint="eastAsia" w:ascii="仿宋_GB2312" w:hAnsi="Times New Roman" w:eastAsia="仿宋_GB2312"/>
                <w:b/>
                <w:bCs/>
                <w:sz w:val="28"/>
                <w:szCs w:val="28"/>
              </w:rPr>
              <w:t>横向重叠：</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2022年中国境内城市管道天然气供应市场：</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宣城新奥：</w:t>
            </w:r>
            <w:r>
              <w:rPr>
                <w:rFonts w:ascii="仿宋_GB2312" w:hAnsi="Times New Roman" w:eastAsia="仿宋_GB2312"/>
                <w:sz w:val="28"/>
                <w:szCs w:val="28"/>
              </w:rPr>
              <w:t>5-10</w:t>
            </w:r>
            <w:r>
              <w:rPr>
                <w:rFonts w:hint="eastAsia" w:ascii="仿宋_GB2312" w:hAnsi="Times New Roman" w:eastAsia="仿宋_GB2312"/>
                <w:sz w:val="28"/>
                <w:szCs w:val="28"/>
              </w:rPr>
              <w:t>%</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长城燃气：0</w:t>
            </w:r>
            <w:r>
              <w:rPr>
                <w:rFonts w:ascii="仿宋_GB2312" w:hAnsi="Times New Roman" w:eastAsia="仿宋_GB2312"/>
                <w:sz w:val="28"/>
                <w:szCs w:val="28"/>
              </w:rPr>
              <w:t>-5</w:t>
            </w:r>
            <w:r>
              <w:rPr>
                <w:rFonts w:hint="eastAsia" w:ascii="仿宋_GB2312" w:hAnsi="Times New Roman" w:eastAsia="仿宋_GB2312"/>
                <w:sz w:val="28"/>
                <w:szCs w:val="28"/>
              </w:rPr>
              <w:t>%</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双方合计：1</w:t>
            </w:r>
            <w:r>
              <w:rPr>
                <w:rFonts w:ascii="仿宋_GB2312" w:hAnsi="Times New Roman" w:eastAsia="仿宋_GB2312"/>
                <w:sz w:val="28"/>
                <w:szCs w:val="28"/>
              </w:rPr>
              <w:t>0-15%</w:t>
            </w:r>
          </w:p>
          <w:p>
            <w:pPr>
              <w:spacing w:line="500" w:lineRule="exact"/>
              <w:rPr>
                <w:rFonts w:ascii="仿宋_GB2312" w:hAnsi="Times New Roman" w:eastAsia="仿宋_GB2312"/>
                <w:sz w:val="28"/>
                <w:szCs w:val="28"/>
              </w:rPr>
            </w:pPr>
          </w:p>
          <w:p>
            <w:pPr>
              <w:spacing w:line="500" w:lineRule="exact"/>
              <w:rPr>
                <w:rFonts w:ascii="仿宋_GB2312" w:hAnsi="Times New Roman" w:eastAsia="仿宋_GB2312"/>
                <w:b/>
                <w:bCs/>
                <w:sz w:val="28"/>
                <w:szCs w:val="28"/>
              </w:rPr>
            </w:pPr>
            <w:r>
              <w:rPr>
                <w:rFonts w:hint="eastAsia" w:ascii="仿宋_GB2312" w:hAnsi="Times New Roman" w:eastAsia="仿宋_GB2312"/>
                <w:b/>
                <w:bCs/>
                <w:sz w:val="28"/>
                <w:szCs w:val="28"/>
              </w:rPr>
              <w:t>纵向关联：</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上游：</w:t>
            </w:r>
            <w:r>
              <w:rPr>
                <w:rFonts w:ascii="仿宋_GB2312" w:hAnsi="Times New Roman" w:eastAsia="仿宋_GB2312"/>
                <w:sz w:val="28"/>
                <w:szCs w:val="28"/>
              </w:rPr>
              <w:t>1.</w:t>
            </w:r>
            <w:r>
              <w:rPr>
                <w:rFonts w:hint="eastAsia" w:ascii="仿宋_GB2312" w:hAnsi="Times New Roman" w:eastAsia="仿宋_GB2312"/>
                <w:sz w:val="28"/>
                <w:szCs w:val="28"/>
              </w:rPr>
              <w:t>2</w:t>
            </w:r>
            <w:r>
              <w:rPr>
                <w:rFonts w:ascii="仿宋_GB2312" w:hAnsi="Times New Roman" w:eastAsia="仿宋_GB2312"/>
                <w:sz w:val="28"/>
                <w:szCs w:val="28"/>
              </w:rPr>
              <w:t>022</w:t>
            </w:r>
            <w:r>
              <w:rPr>
                <w:rFonts w:hint="eastAsia" w:ascii="仿宋_GB2312" w:hAnsi="Times New Roman" w:eastAsia="仿宋_GB2312"/>
                <w:sz w:val="28"/>
                <w:szCs w:val="28"/>
              </w:rPr>
              <w:t>年中国境内天然气批发供应市场：</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长城燃气：</w:t>
            </w:r>
            <w:r>
              <w:rPr>
                <w:rFonts w:ascii="仿宋_GB2312" w:hAnsi="Times New Roman" w:eastAsia="仿宋_GB2312"/>
                <w:sz w:val="28"/>
                <w:szCs w:val="28"/>
              </w:rPr>
              <w:t>15-20</w:t>
            </w:r>
            <w:r>
              <w:rPr>
                <w:rFonts w:hint="eastAsia" w:ascii="仿宋_GB2312" w:hAnsi="Times New Roman" w:eastAsia="仿宋_GB2312"/>
                <w:sz w:val="28"/>
                <w:szCs w:val="28"/>
              </w:rPr>
              <w:t>%</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上游：</w:t>
            </w:r>
            <w:r>
              <w:rPr>
                <w:rFonts w:ascii="仿宋_GB2312" w:hAnsi="Times New Roman" w:eastAsia="仿宋_GB2312"/>
                <w:sz w:val="28"/>
                <w:szCs w:val="28"/>
              </w:rPr>
              <w:t>2.</w:t>
            </w:r>
            <w:r>
              <w:rPr>
                <w:rFonts w:hint="eastAsia" w:ascii="仿宋_GB2312" w:hAnsi="Times New Roman" w:eastAsia="仿宋_GB2312"/>
                <w:sz w:val="28"/>
                <w:szCs w:val="28"/>
              </w:rPr>
              <w:t>2</w:t>
            </w:r>
            <w:r>
              <w:rPr>
                <w:rFonts w:ascii="仿宋_GB2312" w:hAnsi="Times New Roman" w:eastAsia="仿宋_GB2312"/>
                <w:sz w:val="28"/>
                <w:szCs w:val="28"/>
              </w:rPr>
              <w:t>022</w:t>
            </w:r>
            <w:r>
              <w:rPr>
                <w:rFonts w:hint="eastAsia" w:ascii="仿宋_GB2312" w:hAnsi="Times New Roman" w:eastAsia="仿宋_GB2312"/>
                <w:sz w:val="28"/>
                <w:szCs w:val="28"/>
              </w:rPr>
              <w:t>年安徽省天然气支线管道运输服务市场：</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合营企业（预估）：</w:t>
            </w:r>
            <w:r>
              <w:rPr>
                <w:rFonts w:ascii="仿宋_GB2312" w:hAnsi="Times New Roman" w:eastAsia="仿宋_GB2312"/>
                <w:sz w:val="28"/>
                <w:szCs w:val="28"/>
              </w:rPr>
              <w:t>0-5</w:t>
            </w:r>
            <w:r>
              <w:rPr>
                <w:rFonts w:hint="eastAsia" w:ascii="仿宋_GB2312" w:hAnsi="Times New Roman" w:eastAsia="仿宋_GB2312"/>
                <w:sz w:val="28"/>
                <w:szCs w:val="28"/>
              </w:rPr>
              <w:t>%</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下游：2</w:t>
            </w:r>
            <w:r>
              <w:rPr>
                <w:rFonts w:ascii="仿宋_GB2312" w:hAnsi="Times New Roman" w:eastAsia="仿宋_GB2312"/>
                <w:sz w:val="28"/>
                <w:szCs w:val="28"/>
              </w:rPr>
              <w:t>022</w:t>
            </w:r>
            <w:r>
              <w:rPr>
                <w:rFonts w:hint="eastAsia" w:ascii="仿宋_GB2312" w:hAnsi="Times New Roman" w:eastAsia="仿宋_GB2312"/>
                <w:sz w:val="28"/>
                <w:szCs w:val="28"/>
              </w:rPr>
              <w:t>年中国境内城市管道天然气供应市场：</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宣城新奥：如上所述</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长城燃气：如上所述</w:t>
            </w:r>
          </w:p>
          <w:p>
            <w:pPr>
              <w:spacing w:line="500" w:lineRule="exact"/>
              <w:rPr>
                <w:rFonts w:ascii="仿宋_GB2312" w:hAnsi="Times New Roman" w:eastAsia="仿宋_GB2312"/>
                <w:sz w:val="28"/>
                <w:szCs w:val="28"/>
              </w:rPr>
            </w:pPr>
          </w:p>
          <w:p>
            <w:pPr>
              <w:spacing w:line="500" w:lineRule="exact"/>
              <w:rPr>
                <w:rFonts w:ascii="仿宋_GB2312" w:hAnsi="Times New Roman" w:eastAsia="仿宋_GB2312"/>
                <w:b/>
                <w:bCs/>
                <w:sz w:val="28"/>
                <w:szCs w:val="28"/>
              </w:rPr>
            </w:pPr>
            <w:r>
              <w:rPr>
                <w:rFonts w:hint="eastAsia" w:ascii="仿宋_GB2312" w:hAnsi="Times New Roman" w:eastAsia="仿宋_GB2312"/>
                <w:b/>
                <w:bCs/>
                <w:sz w:val="28"/>
                <w:szCs w:val="28"/>
              </w:rPr>
              <w:t>相邻关系：</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1.2022年中国境内天然气批发供应市场：</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长城燃气：如上所述</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2.2022年安徽省天然气支线管道运输服务市场：</w:t>
            </w:r>
          </w:p>
          <w:p>
            <w:pPr>
              <w:spacing w:line="500" w:lineRule="exact"/>
              <w:rPr>
                <w:rFonts w:ascii="仿宋_GB2312" w:hAnsi="Times New Roman" w:eastAsia="仿宋_GB2312"/>
                <w:sz w:val="28"/>
                <w:szCs w:val="28"/>
              </w:rPr>
            </w:pPr>
            <w:r>
              <w:rPr>
                <w:rFonts w:hint="eastAsia" w:ascii="仿宋_GB2312" w:hAnsi="Times New Roman" w:eastAsia="仿宋_GB2312"/>
                <w:sz w:val="28"/>
                <w:szCs w:val="28"/>
              </w:rPr>
              <w:t>合营企业（预估）：如上所述</w:t>
            </w:r>
          </w:p>
        </w:tc>
      </w:tr>
    </w:tbl>
    <w:p>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等线">
    <w:altName w:val="微软雅黑"/>
    <w:panose1 w:val="02010600030101010101"/>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00A95"/>
    <w:rsid w:val="00037065"/>
    <w:rsid w:val="000D7EBA"/>
    <w:rsid w:val="00107437"/>
    <w:rsid w:val="001164CD"/>
    <w:rsid w:val="00140348"/>
    <w:rsid w:val="00143013"/>
    <w:rsid w:val="00155717"/>
    <w:rsid w:val="001837A3"/>
    <w:rsid w:val="0019287E"/>
    <w:rsid w:val="001B1803"/>
    <w:rsid w:val="002B0B6F"/>
    <w:rsid w:val="00315B88"/>
    <w:rsid w:val="00326962"/>
    <w:rsid w:val="0035110F"/>
    <w:rsid w:val="00372688"/>
    <w:rsid w:val="00391646"/>
    <w:rsid w:val="003B1E61"/>
    <w:rsid w:val="003B2492"/>
    <w:rsid w:val="003C0AEB"/>
    <w:rsid w:val="003D23D6"/>
    <w:rsid w:val="00467B06"/>
    <w:rsid w:val="004769FB"/>
    <w:rsid w:val="004F7688"/>
    <w:rsid w:val="005856DB"/>
    <w:rsid w:val="00595383"/>
    <w:rsid w:val="005B4CA8"/>
    <w:rsid w:val="005B54BB"/>
    <w:rsid w:val="005F2D0C"/>
    <w:rsid w:val="006467D8"/>
    <w:rsid w:val="0069286E"/>
    <w:rsid w:val="006A531B"/>
    <w:rsid w:val="006F6544"/>
    <w:rsid w:val="006F7693"/>
    <w:rsid w:val="0070611A"/>
    <w:rsid w:val="00710140"/>
    <w:rsid w:val="007F2275"/>
    <w:rsid w:val="007F269A"/>
    <w:rsid w:val="0081747A"/>
    <w:rsid w:val="00866D63"/>
    <w:rsid w:val="00915F0F"/>
    <w:rsid w:val="00930EDD"/>
    <w:rsid w:val="009532DF"/>
    <w:rsid w:val="00997019"/>
    <w:rsid w:val="009A5029"/>
    <w:rsid w:val="009C26F9"/>
    <w:rsid w:val="009D38D5"/>
    <w:rsid w:val="009F75A6"/>
    <w:rsid w:val="00A37CE5"/>
    <w:rsid w:val="00A53F26"/>
    <w:rsid w:val="00AA0CC5"/>
    <w:rsid w:val="00AD39D8"/>
    <w:rsid w:val="00AF7529"/>
    <w:rsid w:val="00B16AFE"/>
    <w:rsid w:val="00B50D9D"/>
    <w:rsid w:val="00B51F98"/>
    <w:rsid w:val="00B65DD5"/>
    <w:rsid w:val="00B73DE6"/>
    <w:rsid w:val="00BD10B6"/>
    <w:rsid w:val="00C07076"/>
    <w:rsid w:val="00C277E9"/>
    <w:rsid w:val="00C50DD4"/>
    <w:rsid w:val="00CB00DF"/>
    <w:rsid w:val="00CB1255"/>
    <w:rsid w:val="00D66F60"/>
    <w:rsid w:val="00D73C72"/>
    <w:rsid w:val="00DE4EAF"/>
    <w:rsid w:val="00DF0621"/>
    <w:rsid w:val="00E0592B"/>
    <w:rsid w:val="00E31738"/>
    <w:rsid w:val="00E734BA"/>
    <w:rsid w:val="00E86786"/>
    <w:rsid w:val="00EB3370"/>
    <w:rsid w:val="00EC06D5"/>
    <w:rsid w:val="00ED2F80"/>
    <w:rsid w:val="00F1624E"/>
    <w:rsid w:val="00F32F8A"/>
    <w:rsid w:val="00F539A6"/>
    <w:rsid w:val="00F810AA"/>
    <w:rsid w:val="00F936CB"/>
    <w:rsid w:val="00FA4D52"/>
    <w:rsid w:val="00FB43EC"/>
    <w:rsid w:val="00FB6B40"/>
    <w:rsid w:val="00FF689A"/>
    <w:rsid w:val="A5FF942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qFormat/>
    <w:uiPriority w:val="99"/>
    <w:rPr>
      <w:rFonts w:ascii="Calibri" w:hAnsi="Calibri" w:eastAsia="宋体" w:cs="Times New Roman"/>
      <w:sz w:val="18"/>
      <w:szCs w:val="18"/>
    </w:rPr>
  </w:style>
  <w:style w:type="character" w:customStyle="1" w:styleId="7">
    <w:name w:val="页脚 字符"/>
    <w:basedOn w:val="5"/>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144</Words>
  <Characters>822</Characters>
  <Lines>6</Lines>
  <Paragraphs>1</Paragraphs>
  <TotalTime>93</TotalTime>
  <ScaleCrop>false</ScaleCrop>
  <LinksUpToDate>false</LinksUpToDate>
  <CharactersWithSpaces>965</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2022-02-25T16:20:00Z</dcterms:created>
  <dc:creator>oa</dc:creator>
  <cp:lastModifiedBy>HJ</cp:lastModifiedBy>
  <cp:lastPrinted>2023-09-04T15:56:42Z</cp:lastPrinted>
  <dcterms:modified xsi:type="dcterms:W3CDTF">2023-09-04T15:57:07Z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