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黑体"/>
          <w:sz w:val="36"/>
          <w:szCs w:val="36"/>
        </w:rPr>
      </w:pPr>
      <w:r>
        <w:rPr>
          <w:rFonts w:ascii="Times New Roman" w:hAnsi="Times New Roman" w:eastAsia="黑体"/>
          <w:sz w:val="36"/>
          <w:szCs w:val="36"/>
        </w:rPr>
        <w:t>经营者集中简易案件公示表</w:t>
      </w:r>
    </w:p>
    <w:tbl>
      <w:tblPr>
        <w:tblStyle w:val="9"/>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470"/>
        <w:gridCol w:w="52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案件名称</w:t>
            </w:r>
          </w:p>
        </w:tc>
        <w:tc>
          <w:tcPr>
            <w:tcW w:w="6741" w:type="dxa"/>
            <w:gridSpan w:val="2"/>
            <w:vAlign w:val="center"/>
          </w:tcPr>
          <w:p>
            <w:pPr>
              <w:adjustRightInd w:val="0"/>
              <w:snapToGrid w:val="0"/>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领吉汽车商贸有限公司和山东远通汽车贸易集团有限公司新设合营企业案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555" w:type="dxa"/>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交易概况</w:t>
            </w:r>
          </w:p>
          <w:p>
            <w:pPr>
              <w:adjustRightInd w:val="0"/>
              <w:snapToGrid w:val="0"/>
              <w:jc w:val="center"/>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（限</w:t>
            </w:r>
            <w:r>
              <w:rPr>
                <w:rFonts w:ascii="宋体" w:hAnsi="宋体"/>
                <w:color w:val="000000" w:themeColor="text1"/>
                <w:kern w:val="0"/>
                <w:sz w:val="24"/>
                <w:szCs w:val="24"/>
                <w14:textFill>
                  <w14:solidFill>
                    <w14:schemeClr w14:val="tx1"/>
                  </w14:solidFill>
                </w14:textFill>
              </w:rPr>
              <w:t>200</w:t>
            </w:r>
            <w:r>
              <w:rPr>
                <w:rFonts w:hint="eastAsia" w:ascii="宋体" w:hAnsi="宋体"/>
                <w:color w:val="000000" w:themeColor="text1"/>
                <w:kern w:val="0"/>
                <w:sz w:val="24"/>
                <w:szCs w:val="24"/>
                <w14:textFill>
                  <w14:solidFill>
                    <w14:schemeClr w14:val="tx1"/>
                  </w14:solidFill>
                </w14:textFill>
              </w:rPr>
              <w:t>字内）</w:t>
            </w:r>
          </w:p>
        </w:tc>
        <w:tc>
          <w:tcPr>
            <w:tcW w:w="6741" w:type="dxa"/>
            <w:gridSpan w:val="2"/>
          </w:tcPr>
          <w:p>
            <w:pPr>
              <w:adjustRightInd w:val="0"/>
              <w:snapToGrid w:val="0"/>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本次交易涉及领吉汽车商贸有限公司（“</w:t>
            </w:r>
            <w:r>
              <w:rPr>
                <w:rFonts w:hint="eastAsia" w:ascii="宋体" w:hAnsi="宋体"/>
                <w:b/>
                <w:color w:val="000000" w:themeColor="text1"/>
                <w:kern w:val="0"/>
                <w:sz w:val="24"/>
                <w:szCs w:val="24"/>
                <w14:textFill>
                  <w14:solidFill>
                    <w14:schemeClr w14:val="tx1"/>
                  </w14:solidFill>
                </w14:textFill>
              </w:rPr>
              <w:t>领吉商贸</w:t>
            </w:r>
            <w:r>
              <w:rPr>
                <w:rFonts w:hint="eastAsia" w:ascii="宋体" w:hAnsi="宋体"/>
                <w:color w:val="000000" w:themeColor="text1"/>
                <w:kern w:val="0"/>
                <w:sz w:val="24"/>
                <w:szCs w:val="24"/>
                <w14:textFill>
                  <w14:solidFill>
                    <w14:schemeClr w14:val="tx1"/>
                  </w14:solidFill>
                </w14:textFill>
              </w:rPr>
              <w:t>”）和山东远通汽车贸易集团有限公司（“</w:t>
            </w:r>
            <w:r>
              <w:rPr>
                <w:rFonts w:hint="eastAsia" w:ascii="宋体" w:hAnsi="宋体"/>
                <w:b/>
                <w:color w:val="000000" w:themeColor="text1"/>
                <w:kern w:val="0"/>
                <w:sz w:val="24"/>
                <w:szCs w:val="24"/>
                <w14:textFill>
                  <w14:solidFill>
                    <w14:schemeClr w14:val="tx1"/>
                  </w14:solidFill>
                </w14:textFill>
              </w:rPr>
              <w:t>远通汽车</w:t>
            </w:r>
            <w:r>
              <w:rPr>
                <w:rFonts w:hint="eastAsia" w:ascii="宋体" w:hAnsi="宋体"/>
                <w:color w:val="000000" w:themeColor="text1"/>
                <w:kern w:val="0"/>
                <w:sz w:val="24"/>
                <w:szCs w:val="24"/>
                <w14:textFill>
                  <w14:solidFill>
                    <w14:schemeClr w14:val="tx1"/>
                  </w14:solidFill>
                </w14:textFill>
              </w:rPr>
              <w:t>”）签署《合资协议》，拟新设合营企业，合营企业将主要从事二手乘用车零售。</w:t>
            </w:r>
          </w:p>
          <w:p>
            <w:pPr>
              <w:adjustRightInd w:val="0"/>
              <w:snapToGrid w:val="0"/>
              <w:rPr>
                <w:rFonts w:ascii="宋体" w:hAnsi="宋体"/>
                <w:color w:val="000000" w:themeColor="text1"/>
                <w:kern w:val="0"/>
                <w:sz w:val="24"/>
                <w:szCs w:val="24"/>
                <w:highlight w:val="yellow"/>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交易完成后，领吉商贸将持有合营企业</w:t>
            </w:r>
            <w:r>
              <w:rPr>
                <w:rFonts w:ascii="宋体" w:hAnsi="宋体"/>
                <w:color w:val="000000" w:themeColor="text1"/>
                <w:kern w:val="0"/>
                <w:sz w:val="24"/>
                <w:szCs w:val="24"/>
                <w14:textFill>
                  <w14:solidFill>
                    <w14:schemeClr w14:val="tx1"/>
                  </w14:solidFill>
                </w14:textFill>
              </w:rPr>
              <w:t>51%</w:t>
            </w:r>
            <w:r>
              <w:rPr>
                <w:rFonts w:hint="eastAsia" w:ascii="宋体" w:hAnsi="宋体"/>
                <w:color w:val="000000" w:themeColor="text1"/>
                <w:kern w:val="0"/>
                <w:sz w:val="24"/>
                <w:szCs w:val="24"/>
                <w14:textFill>
                  <w14:solidFill>
                    <w14:schemeClr w14:val="tx1"/>
                  </w14:solidFill>
                </w14:textFill>
              </w:rPr>
              <w:t>的股权，远通汽车将持有合营企业</w:t>
            </w:r>
            <w:r>
              <w:rPr>
                <w:rFonts w:ascii="宋体" w:hAnsi="宋体"/>
                <w:color w:val="000000" w:themeColor="text1"/>
                <w:kern w:val="0"/>
                <w:sz w:val="24"/>
                <w:szCs w:val="24"/>
                <w14:textFill>
                  <w14:solidFill>
                    <w14:schemeClr w14:val="tx1"/>
                  </w14:solidFill>
                </w14:textFill>
              </w:rPr>
              <w:t>49%</w:t>
            </w:r>
            <w:r>
              <w:rPr>
                <w:rFonts w:hint="eastAsia" w:ascii="宋体" w:hAnsi="宋体"/>
                <w:color w:val="000000" w:themeColor="text1"/>
                <w:kern w:val="0"/>
                <w:sz w:val="24"/>
                <w:szCs w:val="24"/>
                <w14:textFill>
                  <w14:solidFill>
                    <w14:schemeClr w14:val="tx1"/>
                  </w14:solidFill>
                </w14:textFill>
              </w:rPr>
              <w:t>的股权，领吉商贸和远通汽车将共同控制合营企业。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555" w:type="dxa"/>
            <w:vMerge w:val="restart"/>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参与集中的</w:t>
            </w:r>
          </w:p>
          <w:p>
            <w:pPr>
              <w:adjustRightInd w:val="0"/>
              <w:snapToGrid w:val="0"/>
              <w:jc w:val="center"/>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经营者简介</w:t>
            </w:r>
          </w:p>
        </w:tc>
        <w:tc>
          <w:tcPr>
            <w:tcW w:w="1470" w:type="dxa"/>
            <w:vAlign w:val="center"/>
          </w:tcPr>
          <w:p>
            <w:pPr>
              <w:adjustRightInd w:val="0"/>
              <w:snapToGrid w:val="0"/>
              <w:rPr>
                <w:rFonts w:ascii="宋体" w:hAnsi="宋体"/>
                <w:color w:val="000000" w:themeColor="text1"/>
                <w:kern w:val="0"/>
                <w:sz w:val="24"/>
                <w:szCs w:val="24"/>
                <w14:textFill>
                  <w14:solidFill>
                    <w14:schemeClr w14:val="tx1"/>
                  </w14:solidFill>
                </w14:textFill>
              </w:rPr>
            </w:pPr>
            <w:r>
              <w:rPr>
                <w:rFonts w:ascii="宋体" w:hAnsi="宋体"/>
                <w:color w:val="000000" w:themeColor="text1"/>
                <w:kern w:val="0"/>
                <w:sz w:val="24"/>
                <w:szCs w:val="24"/>
                <w14:textFill>
                  <w14:solidFill>
                    <w14:schemeClr w14:val="tx1"/>
                  </w14:solidFill>
                </w14:textFill>
              </w:rPr>
              <w:t>1</w:t>
            </w:r>
            <w:r>
              <w:rPr>
                <w:rFonts w:hint="eastAsia" w:ascii="宋体" w:hAnsi="宋体"/>
                <w:color w:val="000000" w:themeColor="text1"/>
                <w:kern w:val="0"/>
                <w:sz w:val="24"/>
                <w:szCs w:val="24"/>
                <w14:textFill>
                  <w14:solidFill>
                    <w14:schemeClr w14:val="tx1"/>
                  </w14:solidFill>
                </w14:textFill>
              </w:rPr>
              <w:t>、领吉商贸</w:t>
            </w:r>
          </w:p>
        </w:tc>
        <w:tc>
          <w:tcPr>
            <w:tcW w:w="5271" w:type="dxa"/>
          </w:tcPr>
          <w:p>
            <w:pPr>
              <w:adjustRightInd w:val="0"/>
              <w:snapToGrid w:val="0"/>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领吉商贸于20</w:t>
            </w:r>
            <w:r>
              <w:rPr>
                <w:rFonts w:ascii="宋体" w:hAnsi="宋体"/>
                <w:color w:val="000000" w:themeColor="text1"/>
                <w:kern w:val="0"/>
                <w:sz w:val="24"/>
                <w:szCs w:val="24"/>
                <w14:textFill>
                  <w14:solidFill>
                    <w14:schemeClr w14:val="tx1"/>
                  </w14:solidFill>
                </w14:textFill>
              </w:rPr>
              <w:t>20</w:t>
            </w:r>
            <w:r>
              <w:rPr>
                <w:rFonts w:hint="eastAsia" w:ascii="宋体" w:hAnsi="宋体"/>
                <w:color w:val="000000" w:themeColor="text1"/>
                <w:kern w:val="0"/>
                <w:sz w:val="24"/>
                <w:szCs w:val="24"/>
                <w14:textFill>
                  <w14:solidFill>
                    <w14:schemeClr w14:val="tx1"/>
                  </w14:solidFill>
                </w14:textFill>
              </w:rPr>
              <w:t>年</w:t>
            </w:r>
            <w:r>
              <w:rPr>
                <w:rFonts w:ascii="宋体" w:hAnsi="宋体"/>
                <w:color w:val="000000" w:themeColor="text1"/>
                <w:kern w:val="0"/>
                <w:sz w:val="24"/>
                <w:szCs w:val="24"/>
                <w14:textFill>
                  <w14:solidFill>
                    <w14:schemeClr w14:val="tx1"/>
                  </w14:solidFill>
                </w14:textFill>
              </w:rPr>
              <w:t>4</w:t>
            </w:r>
            <w:r>
              <w:rPr>
                <w:rFonts w:hint="eastAsia" w:ascii="宋体" w:hAnsi="宋体"/>
                <w:color w:val="000000" w:themeColor="text1"/>
                <w:kern w:val="0"/>
                <w:sz w:val="24"/>
                <w:szCs w:val="24"/>
                <w14:textFill>
                  <w14:solidFill>
                    <w14:schemeClr w14:val="tx1"/>
                  </w14:solidFill>
                </w14:textFill>
              </w:rPr>
              <w:t>月</w:t>
            </w:r>
            <w:r>
              <w:rPr>
                <w:rFonts w:ascii="宋体" w:hAnsi="宋体"/>
                <w:color w:val="000000" w:themeColor="text1"/>
                <w:kern w:val="0"/>
                <w:sz w:val="24"/>
                <w:szCs w:val="24"/>
                <w14:textFill>
                  <w14:solidFill>
                    <w14:schemeClr w14:val="tx1"/>
                  </w14:solidFill>
                </w14:textFill>
              </w:rPr>
              <w:t>16</w:t>
            </w:r>
            <w:r>
              <w:rPr>
                <w:rFonts w:hint="eastAsia" w:ascii="宋体" w:hAnsi="宋体"/>
                <w:color w:val="000000" w:themeColor="text1"/>
                <w:kern w:val="0"/>
                <w:sz w:val="24"/>
                <w:szCs w:val="24"/>
                <w14:textFill>
                  <w14:solidFill>
                    <w14:schemeClr w14:val="tx1"/>
                  </w14:solidFill>
                </w14:textFill>
              </w:rPr>
              <w:t>日在浙江省湖州市成立，主要</w:t>
            </w:r>
            <w:r>
              <w:rPr>
                <w:rFonts w:ascii="宋体" w:hAnsi="宋体"/>
                <w:color w:val="000000" w:themeColor="text1"/>
                <w:kern w:val="0"/>
                <w:sz w:val="24"/>
                <w:szCs w:val="24"/>
                <w14:textFill>
                  <w14:solidFill>
                    <w14:schemeClr w14:val="tx1"/>
                  </w14:solidFill>
                </w14:textFill>
              </w:rPr>
              <w:t>从事</w:t>
            </w:r>
            <w:r>
              <w:rPr>
                <w:rFonts w:hint="eastAsia" w:ascii="宋体" w:hAnsi="宋体"/>
                <w:color w:val="000000" w:themeColor="text1"/>
                <w:kern w:val="0"/>
                <w:sz w:val="24"/>
                <w:szCs w:val="24"/>
                <w14:textFill>
                  <w14:solidFill>
                    <w14:schemeClr w14:val="tx1"/>
                  </w14:solidFill>
                </w14:textFill>
              </w:rPr>
              <w:t>乘用车销售。</w:t>
            </w:r>
          </w:p>
          <w:p>
            <w:pPr>
              <w:adjustRightInd w:val="0"/>
              <w:snapToGrid w:val="0"/>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领吉商贸的最终控制人为</w:t>
            </w:r>
            <w:r>
              <w:rPr>
                <w:rFonts w:hint="eastAsia" w:ascii="宋体" w:hAnsi="宋体"/>
                <w:color w:val="000000" w:themeColor="text1"/>
                <w:kern w:val="0"/>
                <w:sz w:val="24"/>
                <w:szCs w:val="24"/>
                <w:lang w:eastAsia="zh-CN"/>
                <w14:textFill>
                  <w14:solidFill>
                    <w14:schemeClr w14:val="tx1"/>
                  </w14:solidFill>
                </w14:textFill>
              </w:rPr>
              <w:t>中国籍</w:t>
            </w:r>
            <w:r>
              <w:rPr>
                <w:rFonts w:hint="eastAsia" w:ascii="宋体" w:hAnsi="宋体"/>
                <w:color w:val="000000" w:themeColor="text1"/>
                <w:kern w:val="0"/>
                <w:sz w:val="24"/>
                <w:szCs w:val="24"/>
                <w14:textFill>
                  <w14:solidFill>
                    <w14:schemeClr w14:val="tx1"/>
                  </w14:solidFill>
                </w14:textFill>
              </w:rPr>
              <w:t>自然人，主要通过其控制的关联实体从事汽车研发、生产和销售业务。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555" w:type="dxa"/>
            <w:vMerge w:val="continue"/>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p>
        </w:tc>
        <w:tc>
          <w:tcPr>
            <w:tcW w:w="1470" w:type="dxa"/>
            <w:vAlign w:val="center"/>
          </w:tcPr>
          <w:p>
            <w:pPr>
              <w:adjustRightInd w:val="0"/>
              <w:snapToGrid w:val="0"/>
              <w:rPr>
                <w:rFonts w:ascii="宋体" w:hAnsi="宋体"/>
                <w:color w:val="000000" w:themeColor="text1"/>
                <w:kern w:val="0"/>
                <w:sz w:val="24"/>
                <w:szCs w:val="24"/>
                <w14:textFill>
                  <w14:solidFill>
                    <w14:schemeClr w14:val="tx1"/>
                  </w14:solidFill>
                </w14:textFill>
              </w:rPr>
            </w:pPr>
            <w:r>
              <w:rPr>
                <w:rFonts w:ascii="宋体" w:hAnsi="宋体"/>
                <w:color w:val="000000" w:themeColor="text1"/>
                <w:kern w:val="0"/>
                <w:sz w:val="24"/>
                <w:szCs w:val="24"/>
                <w14:textFill>
                  <w14:solidFill>
                    <w14:schemeClr w14:val="tx1"/>
                  </w14:solidFill>
                </w14:textFill>
              </w:rPr>
              <w:t>2</w:t>
            </w:r>
            <w:r>
              <w:rPr>
                <w:rFonts w:hint="eastAsia" w:ascii="宋体" w:hAnsi="宋体"/>
                <w:color w:val="000000" w:themeColor="text1"/>
                <w:kern w:val="0"/>
                <w:sz w:val="24"/>
                <w:szCs w:val="24"/>
                <w14:textFill>
                  <w14:solidFill>
                    <w14:schemeClr w14:val="tx1"/>
                  </w14:solidFill>
                </w14:textFill>
              </w:rPr>
              <w:t>、远通汽车</w:t>
            </w:r>
          </w:p>
        </w:tc>
        <w:tc>
          <w:tcPr>
            <w:tcW w:w="5271" w:type="dxa"/>
          </w:tcPr>
          <w:p>
            <w:pPr>
              <w:adjustRightInd w:val="0"/>
              <w:snapToGrid w:val="0"/>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远通汽车于</w:t>
            </w:r>
            <w:r>
              <w:rPr>
                <w:rFonts w:ascii="宋体" w:hAnsi="宋体"/>
                <w:color w:val="000000" w:themeColor="text1"/>
                <w:kern w:val="0"/>
                <w:sz w:val="24"/>
                <w:szCs w:val="24"/>
                <w14:textFill>
                  <w14:solidFill>
                    <w14:schemeClr w14:val="tx1"/>
                  </w14:solidFill>
                </w14:textFill>
              </w:rPr>
              <w:t>1995</w:t>
            </w:r>
            <w:r>
              <w:rPr>
                <w:rFonts w:hint="eastAsia" w:ascii="宋体" w:hAnsi="宋体"/>
                <w:color w:val="000000" w:themeColor="text1"/>
                <w:kern w:val="0"/>
                <w:sz w:val="24"/>
                <w:szCs w:val="24"/>
                <w14:textFill>
                  <w14:solidFill>
                    <w14:schemeClr w14:val="tx1"/>
                  </w14:solidFill>
                </w14:textFill>
              </w:rPr>
              <w:t>年</w:t>
            </w:r>
            <w:r>
              <w:rPr>
                <w:rFonts w:ascii="宋体" w:hAnsi="宋体"/>
                <w:color w:val="000000" w:themeColor="text1"/>
                <w:kern w:val="0"/>
                <w:sz w:val="24"/>
                <w:szCs w:val="24"/>
                <w14:textFill>
                  <w14:solidFill>
                    <w14:schemeClr w14:val="tx1"/>
                  </w14:solidFill>
                </w14:textFill>
              </w:rPr>
              <w:t>10</w:t>
            </w:r>
            <w:r>
              <w:rPr>
                <w:rFonts w:hint="eastAsia" w:ascii="宋体" w:hAnsi="宋体"/>
                <w:color w:val="000000" w:themeColor="text1"/>
                <w:kern w:val="0"/>
                <w:sz w:val="24"/>
                <w:szCs w:val="24"/>
                <w14:textFill>
                  <w14:solidFill>
                    <w14:schemeClr w14:val="tx1"/>
                  </w14:solidFill>
                </w14:textFill>
              </w:rPr>
              <w:t>月</w:t>
            </w:r>
            <w:r>
              <w:rPr>
                <w:rFonts w:ascii="宋体" w:hAnsi="宋体"/>
                <w:color w:val="000000" w:themeColor="text1"/>
                <w:kern w:val="0"/>
                <w:sz w:val="24"/>
                <w:szCs w:val="24"/>
                <w14:textFill>
                  <w14:solidFill>
                    <w14:schemeClr w14:val="tx1"/>
                  </w14:solidFill>
                </w14:textFill>
              </w:rPr>
              <w:t>9</w:t>
            </w:r>
            <w:r>
              <w:rPr>
                <w:rFonts w:hint="eastAsia" w:ascii="宋体" w:hAnsi="宋体"/>
                <w:color w:val="000000" w:themeColor="text1"/>
                <w:kern w:val="0"/>
                <w:sz w:val="24"/>
                <w:szCs w:val="24"/>
                <w14:textFill>
                  <w14:solidFill>
                    <w14:schemeClr w14:val="tx1"/>
                  </w14:solidFill>
                </w14:textFill>
              </w:rPr>
              <w:t>日在山东省临沂市成立，主要从事业务包括：汽车超市综合服务园区、二手车交易</w:t>
            </w:r>
            <w:r>
              <w:rPr>
                <w:rFonts w:ascii="宋体" w:hAnsi="宋体"/>
                <w:color w:val="000000" w:themeColor="text1"/>
                <w:kern w:val="0"/>
                <w:sz w:val="24"/>
                <w:szCs w:val="24"/>
                <w14:textFill>
                  <w14:solidFill>
                    <w14:schemeClr w14:val="tx1"/>
                  </w14:solidFill>
                </w14:textFill>
              </w:rPr>
              <w:t>、汽车销售维修、汽车配件物流</w:t>
            </w:r>
            <w:r>
              <w:rPr>
                <w:rFonts w:hint="eastAsia" w:ascii="宋体" w:hAnsi="宋体"/>
                <w:color w:val="000000" w:themeColor="text1"/>
                <w:kern w:val="0"/>
                <w:sz w:val="24"/>
                <w:szCs w:val="24"/>
                <w14:textFill>
                  <w14:solidFill>
                    <w14:schemeClr w14:val="tx1"/>
                  </w14:solidFill>
                </w14:textFill>
              </w:rPr>
              <w:t>等。</w:t>
            </w:r>
          </w:p>
          <w:p>
            <w:pPr>
              <w:adjustRightInd w:val="0"/>
              <w:snapToGrid w:val="0"/>
              <w:rPr>
                <w:rFonts w:ascii="宋体" w:hAnsi="宋体"/>
                <w:color w:val="000000" w:themeColor="text1"/>
                <w:sz w:val="24"/>
                <w:szCs w:val="24"/>
                <w:lang w:val="en-GB"/>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远通汽车的最终控制人为</w:t>
            </w:r>
            <w:r>
              <w:rPr>
                <w:rFonts w:hint="eastAsia" w:ascii="宋体" w:hAnsi="宋体"/>
                <w:color w:val="000000" w:themeColor="text1"/>
                <w:kern w:val="0"/>
                <w:sz w:val="24"/>
                <w:szCs w:val="24"/>
                <w:lang w:eastAsia="zh-CN"/>
                <w14:textFill>
                  <w14:solidFill>
                    <w14:schemeClr w14:val="tx1"/>
                  </w14:solidFill>
                </w14:textFill>
              </w:rPr>
              <w:t>中国籍</w:t>
            </w:r>
            <w:bookmarkStart w:id="0" w:name="_GoBack"/>
            <w:bookmarkEnd w:id="0"/>
            <w:r>
              <w:rPr>
                <w:rFonts w:hint="eastAsia" w:ascii="宋体" w:hAnsi="宋体"/>
                <w:color w:val="000000" w:themeColor="text1"/>
                <w:kern w:val="0"/>
                <w:sz w:val="24"/>
                <w:szCs w:val="24"/>
                <w14:textFill>
                  <w14:solidFill>
                    <w14:schemeClr w14:val="tx1"/>
                  </w14:solidFill>
                </w14:textFill>
              </w:rPr>
              <w:t>自然人，主要通过远通汽车从事汽车零售业务。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555" w:type="dxa"/>
            <w:vMerge w:val="restart"/>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简易案件理由（可以单选，也可以多选）</w:t>
            </w:r>
          </w:p>
        </w:tc>
        <w:tc>
          <w:tcPr>
            <w:tcW w:w="6741" w:type="dxa"/>
            <w:gridSpan w:val="2"/>
          </w:tcPr>
          <w:p>
            <w:pPr>
              <w:adjustRightInd w:val="0"/>
              <w:snapToGrid w:val="0"/>
              <w:rPr>
                <w:rFonts w:ascii="宋体" w:hAnsi="宋体"/>
                <w:color w:val="000000" w:themeColor="text1"/>
                <w:kern w:val="0"/>
                <w:sz w:val="24"/>
                <w:szCs w:val="24"/>
                <w14:textFill>
                  <w14:solidFill>
                    <w14:schemeClr w14:val="tx1"/>
                  </w14:solidFill>
                </w14:textFill>
              </w:rPr>
            </w:pPr>
            <w:r>
              <w:rPr>
                <w:rFonts w:ascii="宋体" w:hAnsi="宋体"/>
                <w:color w:val="000000" w:themeColor="text1"/>
                <w:kern w:val="0"/>
                <w:sz w:val="24"/>
                <w:szCs w:val="24"/>
                <w14:textFill>
                  <w14:solidFill>
                    <w14:schemeClr w14:val="tx1"/>
                  </w14:solidFill>
                </w14:textFill>
              </w:rPr>
              <w:sym w:font="Wingdings" w:char="F0FE"/>
            </w:r>
            <w:r>
              <w:rPr>
                <w:rFonts w:ascii="宋体" w:hAnsi="宋体"/>
                <w:color w:val="000000" w:themeColor="text1"/>
                <w:kern w:val="0"/>
                <w:sz w:val="24"/>
                <w:szCs w:val="24"/>
                <w14:textFill>
                  <w14:solidFill>
                    <w14:schemeClr w14:val="tx1"/>
                  </w14:solidFill>
                </w14:textFill>
              </w:rPr>
              <w:t>1.</w:t>
            </w:r>
            <w:r>
              <w:rPr>
                <w:rFonts w:hint="eastAsia" w:ascii="宋体" w:hAnsi="宋体"/>
                <w:color w:val="000000" w:themeColor="text1"/>
                <w:kern w:val="0"/>
                <w:sz w:val="24"/>
                <w:szCs w:val="24"/>
                <w14:textFill>
                  <w14:solidFill>
                    <w14:schemeClr w14:val="tx1"/>
                  </w14:solidFill>
                </w14:textFill>
              </w:rPr>
              <w:t>在同一相关市场，所有参与集中的经营者所占市场份额之和小于</w:t>
            </w:r>
            <w:r>
              <w:rPr>
                <w:rFonts w:ascii="宋体" w:hAnsi="宋体"/>
                <w:color w:val="000000" w:themeColor="text1"/>
                <w:kern w:val="0"/>
                <w:sz w:val="24"/>
                <w:szCs w:val="24"/>
                <w14:textFill>
                  <w14:solidFill>
                    <w14:schemeClr w14:val="tx1"/>
                  </w14:solidFill>
                </w14:textFill>
              </w:rPr>
              <w:t>15%</w:t>
            </w:r>
            <w:r>
              <w:rPr>
                <w:rFonts w:hint="eastAsia" w:ascii="宋体" w:hAnsi="宋体"/>
                <w:color w:val="000000" w:themeColor="text1"/>
                <w:kern w:val="0"/>
                <w:sz w:val="24"/>
                <w:szCs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555" w:type="dxa"/>
            <w:vMerge w:val="continue"/>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p>
        </w:tc>
        <w:tc>
          <w:tcPr>
            <w:tcW w:w="6741" w:type="dxa"/>
            <w:gridSpan w:val="2"/>
          </w:tcPr>
          <w:p>
            <w:pPr>
              <w:adjustRightInd w:val="0"/>
              <w:snapToGrid w:val="0"/>
              <w:rPr>
                <w:rFonts w:ascii="宋体" w:hAnsi="宋体"/>
                <w:color w:val="000000" w:themeColor="text1"/>
                <w:kern w:val="0"/>
                <w:sz w:val="24"/>
                <w:szCs w:val="24"/>
                <w14:textFill>
                  <w14:solidFill>
                    <w14:schemeClr w14:val="tx1"/>
                  </w14:solidFill>
                </w14:textFill>
              </w:rPr>
            </w:pPr>
            <w:r>
              <w:rPr>
                <w:rFonts w:ascii="宋体" w:hAnsi="宋体"/>
                <w:color w:val="000000" w:themeColor="text1"/>
                <w:kern w:val="0"/>
                <w:sz w:val="24"/>
                <w:szCs w:val="24"/>
                <w14:textFill>
                  <w14:solidFill>
                    <w14:schemeClr w14:val="tx1"/>
                  </w14:solidFill>
                </w14:textFill>
              </w:rPr>
              <w:sym w:font="Wingdings" w:char="F0A8"/>
            </w:r>
            <w:r>
              <w:rPr>
                <w:rFonts w:ascii="宋体" w:hAnsi="宋体"/>
                <w:color w:val="000000" w:themeColor="text1"/>
                <w:kern w:val="0"/>
                <w:sz w:val="24"/>
                <w:szCs w:val="24"/>
                <w14:textFill>
                  <w14:solidFill>
                    <w14:schemeClr w14:val="tx1"/>
                  </w14:solidFill>
                </w14:textFill>
              </w:rPr>
              <w:t>2.</w:t>
            </w:r>
            <w:r>
              <w:rPr>
                <w:rFonts w:hint="eastAsia" w:ascii="宋体" w:hAnsi="宋体"/>
                <w:color w:val="000000" w:themeColor="text1"/>
                <w:kern w:val="0"/>
                <w:sz w:val="24"/>
                <w:szCs w:val="24"/>
                <w14:textFill>
                  <w14:solidFill>
                    <w14:schemeClr w14:val="tx1"/>
                  </w14:solidFill>
                </w14:textFill>
              </w:rPr>
              <w:t>存在上下游关系的参与集中的经营者，在上下游市场所占的市场份额均小于</w:t>
            </w:r>
            <w:r>
              <w:rPr>
                <w:rFonts w:ascii="宋体" w:hAnsi="宋体"/>
                <w:color w:val="000000" w:themeColor="text1"/>
                <w:kern w:val="0"/>
                <w:sz w:val="24"/>
                <w:szCs w:val="24"/>
                <w14:textFill>
                  <w14:solidFill>
                    <w14:schemeClr w14:val="tx1"/>
                  </w14:solidFill>
                </w14:textFill>
              </w:rPr>
              <w:t>25%</w:t>
            </w:r>
            <w:r>
              <w:rPr>
                <w:rFonts w:hint="eastAsia" w:ascii="宋体" w:hAnsi="宋体"/>
                <w:color w:val="000000" w:themeColor="text1"/>
                <w:kern w:val="0"/>
                <w:sz w:val="24"/>
                <w:szCs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55" w:type="dxa"/>
            <w:vMerge w:val="continue"/>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p>
        </w:tc>
        <w:tc>
          <w:tcPr>
            <w:tcW w:w="6741" w:type="dxa"/>
            <w:gridSpan w:val="2"/>
          </w:tcPr>
          <w:p>
            <w:pPr>
              <w:adjustRightInd w:val="0"/>
              <w:snapToGrid w:val="0"/>
              <w:rPr>
                <w:rFonts w:ascii="宋体" w:hAnsi="宋体"/>
                <w:color w:val="000000" w:themeColor="text1"/>
                <w:kern w:val="0"/>
                <w:sz w:val="24"/>
                <w:szCs w:val="24"/>
                <w14:textFill>
                  <w14:solidFill>
                    <w14:schemeClr w14:val="tx1"/>
                  </w14:solidFill>
                </w14:textFill>
              </w:rPr>
            </w:pPr>
            <w:r>
              <w:rPr>
                <w:rFonts w:ascii="宋体" w:hAnsi="宋体"/>
                <w:color w:val="000000" w:themeColor="text1"/>
                <w:kern w:val="0"/>
                <w:sz w:val="24"/>
                <w:szCs w:val="24"/>
                <w14:textFill>
                  <w14:solidFill>
                    <w14:schemeClr w14:val="tx1"/>
                  </w14:solidFill>
                </w14:textFill>
              </w:rPr>
              <w:sym w:font="Wingdings" w:char="F0A8"/>
            </w:r>
            <w:r>
              <w:rPr>
                <w:rFonts w:ascii="宋体" w:hAnsi="宋体"/>
                <w:color w:val="000000" w:themeColor="text1"/>
                <w:kern w:val="0"/>
                <w:sz w:val="24"/>
                <w:szCs w:val="24"/>
                <w14:textFill>
                  <w14:solidFill>
                    <w14:schemeClr w14:val="tx1"/>
                  </w14:solidFill>
                </w14:textFill>
              </w:rPr>
              <w:t>3.</w:t>
            </w:r>
            <w:r>
              <w:rPr>
                <w:rFonts w:hint="eastAsia" w:ascii="宋体" w:hAnsi="宋体"/>
                <w:color w:val="000000" w:themeColor="text1"/>
                <w:kern w:val="0"/>
                <w:sz w:val="24"/>
                <w:szCs w:val="24"/>
                <w14:textFill>
                  <w14:solidFill>
                    <w14:schemeClr w14:val="tx1"/>
                  </w14:solidFill>
                </w14:textFill>
              </w:rPr>
              <w:t>不在同一相关市场、也不存在上下游关系的参与集中的经营者，在与交易有关的每个市场所占的份额均小于</w:t>
            </w:r>
            <w:r>
              <w:rPr>
                <w:rFonts w:ascii="宋体" w:hAnsi="宋体"/>
                <w:color w:val="000000" w:themeColor="text1"/>
                <w:kern w:val="0"/>
                <w:sz w:val="24"/>
                <w:szCs w:val="24"/>
                <w14:textFill>
                  <w14:solidFill>
                    <w14:schemeClr w14:val="tx1"/>
                  </w14:solidFill>
                </w14:textFill>
              </w:rPr>
              <w:t>25%</w:t>
            </w:r>
            <w:r>
              <w:rPr>
                <w:rFonts w:hint="eastAsia" w:ascii="宋体" w:hAnsi="宋体"/>
                <w:color w:val="000000" w:themeColor="text1"/>
                <w:kern w:val="0"/>
                <w:sz w:val="24"/>
                <w:szCs w:val="24"/>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555" w:type="dxa"/>
            <w:vMerge w:val="continue"/>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p>
        </w:tc>
        <w:tc>
          <w:tcPr>
            <w:tcW w:w="6741" w:type="dxa"/>
            <w:gridSpan w:val="2"/>
          </w:tcPr>
          <w:p>
            <w:pPr>
              <w:adjustRightInd w:val="0"/>
              <w:snapToGrid w:val="0"/>
              <w:rPr>
                <w:rFonts w:ascii="宋体" w:hAnsi="宋体"/>
                <w:color w:val="000000" w:themeColor="text1"/>
                <w:kern w:val="0"/>
                <w:sz w:val="24"/>
                <w:szCs w:val="24"/>
                <w14:textFill>
                  <w14:solidFill>
                    <w14:schemeClr w14:val="tx1"/>
                  </w14:solidFill>
                </w14:textFill>
              </w:rPr>
            </w:pPr>
            <w:r>
              <w:rPr>
                <w:rFonts w:ascii="宋体" w:hAnsi="宋体"/>
                <w:color w:val="000000" w:themeColor="text1"/>
                <w:kern w:val="0"/>
                <w:sz w:val="24"/>
                <w:szCs w:val="24"/>
                <w14:textFill>
                  <w14:solidFill>
                    <w14:schemeClr w14:val="tx1"/>
                  </w14:solidFill>
                </w14:textFill>
              </w:rPr>
              <w:sym w:font="Wingdings" w:char="F0A8"/>
            </w:r>
            <w:r>
              <w:rPr>
                <w:rFonts w:ascii="宋体" w:hAnsi="宋体"/>
                <w:color w:val="000000" w:themeColor="text1"/>
                <w:kern w:val="0"/>
                <w:sz w:val="24"/>
                <w:szCs w:val="24"/>
                <w14:textFill>
                  <w14:solidFill>
                    <w14:schemeClr w14:val="tx1"/>
                  </w14:solidFill>
                </w14:textFill>
              </w:rPr>
              <w:t>4.</w:t>
            </w:r>
            <w:r>
              <w:rPr>
                <w:rFonts w:hint="eastAsia" w:ascii="宋体" w:hAnsi="宋体"/>
                <w:color w:val="000000" w:themeColor="text1"/>
                <w:kern w:val="0"/>
                <w:sz w:val="24"/>
                <w:szCs w:val="24"/>
                <w14:textFill>
                  <w14:solidFill>
                    <w14:schemeClr w14:val="tx1"/>
                  </w14:solidFill>
                </w14:textFill>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555" w:type="dxa"/>
            <w:vMerge w:val="continue"/>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p>
        </w:tc>
        <w:tc>
          <w:tcPr>
            <w:tcW w:w="6741" w:type="dxa"/>
            <w:gridSpan w:val="2"/>
          </w:tcPr>
          <w:p>
            <w:pPr>
              <w:adjustRightInd w:val="0"/>
              <w:snapToGrid w:val="0"/>
              <w:rPr>
                <w:rFonts w:ascii="宋体" w:hAnsi="宋体"/>
                <w:color w:val="000000" w:themeColor="text1"/>
                <w:kern w:val="0"/>
                <w:sz w:val="24"/>
                <w:szCs w:val="24"/>
                <w14:textFill>
                  <w14:solidFill>
                    <w14:schemeClr w14:val="tx1"/>
                  </w14:solidFill>
                </w14:textFill>
              </w:rPr>
            </w:pPr>
            <w:r>
              <w:rPr>
                <w:rFonts w:ascii="宋体" w:hAnsi="宋体"/>
                <w:color w:val="000000" w:themeColor="text1"/>
                <w:kern w:val="0"/>
                <w:sz w:val="24"/>
                <w:szCs w:val="24"/>
                <w14:textFill>
                  <w14:solidFill>
                    <w14:schemeClr w14:val="tx1"/>
                  </w14:solidFill>
                </w14:textFill>
              </w:rPr>
              <w:sym w:font="Wingdings" w:char="F0A8"/>
            </w:r>
            <w:r>
              <w:rPr>
                <w:rFonts w:ascii="宋体" w:hAnsi="宋体"/>
                <w:color w:val="000000" w:themeColor="text1"/>
                <w:kern w:val="0"/>
                <w:sz w:val="24"/>
                <w:szCs w:val="24"/>
                <w14:textFill>
                  <w14:solidFill>
                    <w14:schemeClr w14:val="tx1"/>
                  </w14:solidFill>
                </w14:textFill>
              </w:rPr>
              <w:t>5.</w:t>
            </w:r>
            <w:r>
              <w:rPr>
                <w:rFonts w:hint="eastAsia" w:ascii="宋体" w:hAnsi="宋体"/>
                <w:color w:val="000000" w:themeColor="text1"/>
                <w:kern w:val="0"/>
                <w:sz w:val="24"/>
                <w:szCs w:val="24"/>
                <w14:textFill>
                  <w14:solidFill>
                    <w14:schemeClr w14:val="tx1"/>
                  </w14:solidFill>
                </w14:textFill>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555" w:type="dxa"/>
            <w:vMerge w:val="continue"/>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p>
        </w:tc>
        <w:tc>
          <w:tcPr>
            <w:tcW w:w="6741" w:type="dxa"/>
            <w:gridSpan w:val="2"/>
          </w:tcPr>
          <w:p>
            <w:pPr>
              <w:adjustRightInd w:val="0"/>
              <w:snapToGrid w:val="0"/>
              <w:rPr>
                <w:rFonts w:ascii="宋体" w:hAnsi="宋体"/>
                <w:color w:val="000000" w:themeColor="text1"/>
                <w:kern w:val="0"/>
                <w:sz w:val="24"/>
                <w:szCs w:val="24"/>
                <w14:textFill>
                  <w14:solidFill>
                    <w14:schemeClr w14:val="tx1"/>
                  </w14:solidFill>
                </w14:textFill>
              </w:rPr>
            </w:pPr>
            <w:r>
              <w:rPr>
                <w:rFonts w:ascii="宋体" w:hAnsi="宋体"/>
                <w:color w:val="000000" w:themeColor="text1"/>
                <w:kern w:val="0"/>
                <w:sz w:val="24"/>
                <w:szCs w:val="24"/>
                <w14:textFill>
                  <w14:solidFill>
                    <w14:schemeClr w14:val="tx1"/>
                  </w14:solidFill>
                </w14:textFill>
              </w:rPr>
              <w:sym w:font="Wingdings" w:char="F0A8"/>
            </w:r>
            <w:r>
              <w:rPr>
                <w:rFonts w:ascii="宋体" w:hAnsi="宋体"/>
                <w:color w:val="000000" w:themeColor="text1"/>
                <w:kern w:val="0"/>
                <w:sz w:val="24"/>
                <w:szCs w:val="24"/>
                <w14:textFill>
                  <w14:solidFill>
                    <w14:schemeClr w14:val="tx1"/>
                  </w14:solidFill>
                </w14:textFill>
              </w:rPr>
              <w:t>6.</w:t>
            </w:r>
            <w:r>
              <w:rPr>
                <w:rFonts w:hint="eastAsia" w:ascii="宋体" w:hAnsi="宋体"/>
                <w:color w:val="000000" w:themeColor="text1"/>
                <w:kern w:val="0"/>
                <w:sz w:val="24"/>
                <w:szCs w:val="24"/>
                <w14:textFill>
                  <w14:solidFill>
                    <w14:schemeClr w14:val="tx1"/>
                  </w14:solidFill>
                </w14:textFill>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1555" w:type="dxa"/>
            <w:shd w:val="clear" w:color="auto" w:fill="D9D9D9"/>
            <w:vAlign w:val="center"/>
          </w:tcPr>
          <w:p>
            <w:pPr>
              <w:adjustRightInd w:val="0"/>
              <w:snapToGrid w:val="0"/>
              <w:jc w:val="center"/>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备注</w:t>
            </w:r>
          </w:p>
        </w:tc>
        <w:tc>
          <w:tcPr>
            <w:tcW w:w="6741" w:type="dxa"/>
            <w:gridSpan w:val="2"/>
            <w:vAlign w:val="center"/>
          </w:tcPr>
          <w:p>
            <w:pPr>
              <w:pStyle w:val="3"/>
              <w:adjustRightInd w:val="0"/>
              <w:snapToGrid w:val="0"/>
              <w:spacing w:after="0"/>
              <w:rPr>
                <w:rFonts w:ascii="宋体" w:hAnsi="宋体"/>
                <w:color w:val="000000" w:themeColor="text1"/>
                <w:lang w:val="en-US" w:eastAsia="zh-CN" w:bidi="ar-SA"/>
                <w14:textFill>
                  <w14:solidFill>
                    <w14:schemeClr w14:val="tx1"/>
                  </w14:solidFill>
                </w14:textFill>
              </w:rPr>
            </w:pPr>
            <w:r>
              <w:rPr>
                <w:rFonts w:hint="eastAsia" w:ascii="宋体" w:hAnsi="宋体"/>
                <w:color w:val="000000" w:themeColor="text1"/>
                <w:lang w:val="en-US" w:eastAsia="zh-CN" w:bidi="ar-SA"/>
                <w14:textFill>
                  <w14:solidFill>
                    <w14:schemeClr w14:val="tx1"/>
                  </w14:solidFill>
                </w14:textFill>
              </w:rPr>
              <w:t>横向重叠：</w:t>
            </w:r>
          </w:p>
          <w:p>
            <w:pPr>
              <w:pStyle w:val="3"/>
              <w:adjustRightInd w:val="0"/>
              <w:snapToGrid w:val="0"/>
              <w:spacing w:after="0"/>
              <w:rPr>
                <w:rFonts w:ascii="宋体" w:hAnsi="宋体"/>
                <w:color w:val="000000" w:themeColor="text1"/>
                <w:lang w:val="en-US" w:eastAsia="zh-CN" w:bidi="ar-SA"/>
                <w14:textFill>
                  <w14:solidFill>
                    <w14:schemeClr w14:val="tx1"/>
                  </w14:solidFill>
                </w14:textFill>
              </w:rPr>
            </w:pPr>
            <w:r>
              <w:rPr>
                <w:rFonts w:ascii="宋体" w:hAnsi="宋体"/>
                <w:color w:val="000000" w:themeColor="text1"/>
                <w:lang w:val="en-US" w:eastAsia="zh-CN" w:bidi="ar-SA"/>
                <w14:textFill>
                  <w14:solidFill>
                    <w14:schemeClr w14:val="tx1"/>
                  </w14:solidFill>
                </w14:textFill>
              </w:rPr>
              <w:t>2022</w:t>
            </w:r>
            <w:r>
              <w:rPr>
                <w:rFonts w:hint="eastAsia" w:ascii="宋体" w:hAnsi="宋体"/>
                <w:color w:val="000000" w:themeColor="text1"/>
                <w:lang w:val="en-US" w:eastAsia="zh-CN" w:bidi="ar-SA"/>
                <w14:textFill>
                  <w14:solidFill>
                    <w14:schemeClr w14:val="tx1"/>
                  </w14:solidFill>
                </w14:textFill>
              </w:rPr>
              <w:t>年中国境内二手乘用车零售</w:t>
            </w:r>
            <w:r>
              <w:rPr>
                <w:rFonts w:ascii="宋体" w:hAnsi="宋体"/>
                <w:color w:val="000000" w:themeColor="text1"/>
                <w:lang w:val="en-US" w:eastAsia="zh-CN" w:bidi="ar-SA"/>
                <w14:textFill>
                  <w14:solidFill>
                    <w14:schemeClr w14:val="tx1"/>
                  </w14:solidFill>
                </w14:textFill>
              </w:rPr>
              <w:t>市场</w:t>
            </w:r>
            <w:r>
              <w:rPr>
                <w:rFonts w:hint="eastAsia" w:ascii="宋体" w:hAnsi="宋体"/>
                <w:color w:val="000000" w:themeColor="text1"/>
                <w:lang w:val="en-US" w:eastAsia="zh-CN" w:bidi="ar-SA"/>
                <w14:textFill>
                  <w14:solidFill>
                    <w14:schemeClr w14:val="tx1"/>
                  </w14:solidFill>
                </w14:textFill>
              </w:rPr>
              <w:t>:</w:t>
            </w:r>
          </w:p>
          <w:p>
            <w:pPr>
              <w:adjustRightInd w:val="0"/>
              <w:snapToGrid w:val="0"/>
              <w:rPr>
                <w:rFonts w:ascii="宋体" w:hAnsi="宋体"/>
                <w:color w:val="000000" w:themeColor="text1"/>
                <w:kern w:val="0"/>
                <w:sz w:val="24"/>
                <w:szCs w:val="24"/>
                <w14:textFill>
                  <w14:solidFill>
                    <w14:schemeClr w14:val="tx1"/>
                  </w14:solidFill>
                </w14:textFill>
              </w:rPr>
            </w:pPr>
            <w:r>
              <w:rPr>
                <w:rFonts w:hint="eastAsia" w:ascii="宋体" w:hAnsi="宋体"/>
                <w:color w:val="000000" w:themeColor="text1"/>
                <w:kern w:val="0"/>
                <w:sz w:val="24"/>
                <w:szCs w:val="24"/>
                <w14:textFill>
                  <w14:solidFill>
                    <w14:schemeClr w14:val="tx1"/>
                  </w14:solidFill>
                </w14:textFill>
              </w:rPr>
              <w:t>领吉商贸：0-5%，远通汽车: 0-5%，各方合计：</w:t>
            </w:r>
            <w:r>
              <w:rPr>
                <w:rFonts w:ascii="宋体" w:hAnsi="宋体"/>
                <w:color w:val="000000" w:themeColor="text1"/>
                <w:kern w:val="0"/>
                <w:sz w:val="24"/>
                <w:szCs w:val="24"/>
                <w14:textFill>
                  <w14:solidFill>
                    <w14:schemeClr w14:val="tx1"/>
                  </w14:solidFill>
                </w14:textFill>
              </w:rPr>
              <w:t>0</w:t>
            </w:r>
            <w:r>
              <w:rPr>
                <w:rFonts w:hint="eastAsia" w:ascii="宋体" w:hAnsi="宋体"/>
                <w:color w:val="000000" w:themeColor="text1"/>
                <w:kern w:val="0"/>
                <w:sz w:val="24"/>
                <w:szCs w:val="24"/>
                <w14:textFill>
                  <w14:solidFill>
                    <w14:schemeClr w14:val="tx1"/>
                  </w14:solidFill>
                </w14:textFill>
              </w:rPr>
              <w:t>-</w:t>
            </w:r>
            <w:r>
              <w:rPr>
                <w:rFonts w:ascii="宋体" w:hAnsi="宋体"/>
                <w:color w:val="000000" w:themeColor="text1"/>
                <w:kern w:val="0"/>
                <w:sz w:val="24"/>
                <w:szCs w:val="24"/>
                <w14:textFill>
                  <w14:solidFill>
                    <w14:schemeClr w14:val="tx1"/>
                  </w14:solidFill>
                </w14:textFill>
              </w:rPr>
              <w:t>5</w:t>
            </w:r>
            <w:r>
              <w:rPr>
                <w:rFonts w:hint="eastAsia" w:ascii="宋体" w:hAnsi="宋体"/>
                <w:color w:val="000000" w:themeColor="text1"/>
                <w:kern w:val="0"/>
                <w:sz w:val="24"/>
                <w:szCs w:val="24"/>
                <w14:textFill>
                  <w14:solidFill>
                    <w14:schemeClr w14:val="tx1"/>
                  </w14:solidFill>
                </w14:textFill>
              </w:rPr>
              <w:t>%</w:t>
            </w:r>
          </w:p>
        </w:tc>
      </w:tr>
    </w:tbl>
    <w:p>
      <w:pPr>
        <w:rPr>
          <w:rFonts w:ascii="Times New Roman" w:hAnsi="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圆B5"/>
    <w:panose1 w:val="02010600030101010101"/>
    <w:charset w:val="86"/>
    <w:family w:val="auto"/>
    <w:pitch w:val="default"/>
    <w:sig w:usb0="00000000" w:usb1="00000000" w:usb2="00000016" w:usb3="00000000" w:csb0="0004000F" w:csb1="00000000"/>
  </w:font>
  <w:font w:name="等线">
    <w:altName w:val="汉仪仿宋S"/>
    <w:panose1 w:val="00000000000000000000"/>
    <w:charset w:val="86"/>
    <w:family w:val="auto"/>
    <w:pitch w:val="default"/>
    <w:sig w:usb0="00000000" w:usb1="00000000" w:usb2="00000000" w:usb3="00000000" w:csb0="00000000" w:csb1="00000000"/>
  </w:font>
  <w:font w:name="等线">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汉仪中圆B5">
    <w:panose1 w:val="02010600000101010101"/>
    <w:charset w:val="88"/>
    <w:family w:val="auto"/>
    <w:pitch w:val="default"/>
    <w:sig w:usb0="00000001" w:usb1="080E0800" w:usb2="00000002" w:usb3="00000000" w:csb0="00100000" w:csb1="00000000"/>
  </w:font>
  <w:font w:name="汉仪仿宋S">
    <w:panose1 w:val="00020600040101000101"/>
    <w:charset w:val="86"/>
    <w:family w:val="auto"/>
    <w:pitch w:val="default"/>
    <w:sig w:usb0="A00002BF" w:usb1="38CF7CFA" w:usb2="00000016"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doNotDisplayPageBoundaries w:val="true"/>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3810"/>
    <w:rsid w:val="00004922"/>
    <w:rsid w:val="00005CBC"/>
    <w:rsid w:val="000138C5"/>
    <w:rsid w:val="00022441"/>
    <w:rsid w:val="00022A0A"/>
    <w:rsid w:val="00032E30"/>
    <w:rsid w:val="00037065"/>
    <w:rsid w:val="0004448B"/>
    <w:rsid w:val="00050BF4"/>
    <w:rsid w:val="000575BC"/>
    <w:rsid w:val="0008060F"/>
    <w:rsid w:val="00082B3E"/>
    <w:rsid w:val="00087411"/>
    <w:rsid w:val="000B7A5A"/>
    <w:rsid w:val="000C4DF6"/>
    <w:rsid w:val="000C5F6D"/>
    <w:rsid w:val="000D35D8"/>
    <w:rsid w:val="000D47B2"/>
    <w:rsid w:val="000D650F"/>
    <w:rsid w:val="000D7EBA"/>
    <w:rsid w:val="000E1AAC"/>
    <w:rsid w:val="000E2E28"/>
    <w:rsid w:val="000E34B9"/>
    <w:rsid w:val="0010048D"/>
    <w:rsid w:val="001031AB"/>
    <w:rsid w:val="00105DC3"/>
    <w:rsid w:val="001164CD"/>
    <w:rsid w:val="00122E7F"/>
    <w:rsid w:val="00137506"/>
    <w:rsid w:val="001415AB"/>
    <w:rsid w:val="001461BB"/>
    <w:rsid w:val="00155717"/>
    <w:rsid w:val="00173CDC"/>
    <w:rsid w:val="001837A3"/>
    <w:rsid w:val="00197E5E"/>
    <w:rsid w:val="001C3870"/>
    <w:rsid w:val="001C692C"/>
    <w:rsid w:val="001E4187"/>
    <w:rsid w:val="001F0398"/>
    <w:rsid w:val="001F0DD5"/>
    <w:rsid w:val="001F10C9"/>
    <w:rsid w:val="001F148D"/>
    <w:rsid w:val="00202B24"/>
    <w:rsid w:val="00206118"/>
    <w:rsid w:val="00214CF0"/>
    <w:rsid w:val="002243A4"/>
    <w:rsid w:val="00232C9B"/>
    <w:rsid w:val="00257FE5"/>
    <w:rsid w:val="00261DAE"/>
    <w:rsid w:val="00263F3D"/>
    <w:rsid w:val="00266ED6"/>
    <w:rsid w:val="002A4976"/>
    <w:rsid w:val="002B35E3"/>
    <w:rsid w:val="002B64FB"/>
    <w:rsid w:val="002B7EA6"/>
    <w:rsid w:val="002D0D4A"/>
    <w:rsid w:val="002D5D1C"/>
    <w:rsid w:val="002D6FF0"/>
    <w:rsid w:val="003025C0"/>
    <w:rsid w:val="00307F0F"/>
    <w:rsid w:val="0031643E"/>
    <w:rsid w:val="00335136"/>
    <w:rsid w:val="00343658"/>
    <w:rsid w:val="00347CDD"/>
    <w:rsid w:val="00351604"/>
    <w:rsid w:val="003529B4"/>
    <w:rsid w:val="003576A5"/>
    <w:rsid w:val="00375E19"/>
    <w:rsid w:val="0038427B"/>
    <w:rsid w:val="00392CC0"/>
    <w:rsid w:val="00393A62"/>
    <w:rsid w:val="003968A7"/>
    <w:rsid w:val="003A1A0D"/>
    <w:rsid w:val="003A528C"/>
    <w:rsid w:val="003A5E04"/>
    <w:rsid w:val="003B4F99"/>
    <w:rsid w:val="003B7D24"/>
    <w:rsid w:val="003C0AEB"/>
    <w:rsid w:val="003C0F31"/>
    <w:rsid w:val="003D2248"/>
    <w:rsid w:val="003D6C64"/>
    <w:rsid w:val="003E3EA1"/>
    <w:rsid w:val="003E6A68"/>
    <w:rsid w:val="003F4F65"/>
    <w:rsid w:val="004009B7"/>
    <w:rsid w:val="004118DF"/>
    <w:rsid w:val="00433A1F"/>
    <w:rsid w:val="00455284"/>
    <w:rsid w:val="00474905"/>
    <w:rsid w:val="00481E13"/>
    <w:rsid w:val="00482832"/>
    <w:rsid w:val="0048349A"/>
    <w:rsid w:val="004908E3"/>
    <w:rsid w:val="0049387F"/>
    <w:rsid w:val="00496055"/>
    <w:rsid w:val="004A09AC"/>
    <w:rsid w:val="004B19A5"/>
    <w:rsid w:val="004C2B1A"/>
    <w:rsid w:val="004C3993"/>
    <w:rsid w:val="004C5266"/>
    <w:rsid w:val="004C7C50"/>
    <w:rsid w:val="004D3B36"/>
    <w:rsid w:val="004D54A8"/>
    <w:rsid w:val="004E70F9"/>
    <w:rsid w:val="004E7374"/>
    <w:rsid w:val="004E76EE"/>
    <w:rsid w:val="004F0673"/>
    <w:rsid w:val="004F72B4"/>
    <w:rsid w:val="004F7688"/>
    <w:rsid w:val="00501CED"/>
    <w:rsid w:val="005022BA"/>
    <w:rsid w:val="005034A9"/>
    <w:rsid w:val="005131F6"/>
    <w:rsid w:val="00515C54"/>
    <w:rsid w:val="0052098A"/>
    <w:rsid w:val="00533163"/>
    <w:rsid w:val="00545B2E"/>
    <w:rsid w:val="00554B02"/>
    <w:rsid w:val="0055774F"/>
    <w:rsid w:val="005632C0"/>
    <w:rsid w:val="00566AB2"/>
    <w:rsid w:val="005703C2"/>
    <w:rsid w:val="00572E55"/>
    <w:rsid w:val="005835A4"/>
    <w:rsid w:val="005908B9"/>
    <w:rsid w:val="005A4B78"/>
    <w:rsid w:val="005B2151"/>
    <w:rsid w:val="005B5517"/>
    <w:rsid w:val="005B7A58"/>
    <w:rsid w:val="005C7454"/>
    <w:rsid w:val="005E2E95"/>
    <w:rsid w:val="005E684E"/>
    <w:rsid w:val="0060331B"/>
    <w:rsid w:val="0062176D"/>
    <w:rsid w:val="006403AD"/>
    <w:rsid w:val="006467D8"/>
    <w:rsid w:val="00646864"/>
    <w:rsid w:val="00651D33"/>
    <w:rsid w:val="00652E2B"/>
    <w:rsid w:val="0065553E"/>
    <w:rsid w:val="00666BE3"/>
    <w:rsid w:val="00667EBB"/>
    <w:rsid w:val="006808AE"/>
    <w:rsid w:val="006A531B"/>
    <w:rsid w:val="006B0E4D"/>
    <w:rsid w:val="006B3937"/>
    <w:rsid w:val="006B5137"/>
    <w:rsid w:val="006D6ED9"/>
    <w:rsid w:val="006E7662"/>
    <w:rsid w:val="006F486B"/>
    <w:rsid w:val="006F4C28"/>
    <w:rsid w:val="006F7693"/>
    <w:rsid w:val="00706BF6"/>
    <w:rsid w:val="00710140"/>
    <w:rsid w:val="0071220D"/>
    <w:rsid w:val="00717A11"/>
    <w:rsid w:val="007207FB"/>
    <w:rsid w:val="0074165C"/>
    <w:rsid w:val="007433D6"/>
    <w:rsid w:val="007436DB"/>
    <w:rsid w:val="00752DEE"/>
    <w:rsid w:val="00767409"/>
    <w:rsid w:val="00770D7C"/>
    <w:rsid w:val="007757FE"/>
    <w:rsid w:val="00782193"/>
    <w:rsid w:val="00791095"/>
    <w:rsid w:val="0079275C"/>
    <w:rsid w:val="00792C21"/>
    <w:rsid w:val="00794B1C"/>
    <w:rsid w:val="007A0139"/>
    <w:rsid w:val="007A2BC9"/>
    <w:rsid w:val="007A36B6"/>
    <w:rsid w:val="007B6071"/>
    <w:rsid w:val="007C0D5B"/>
    <w:rsid w:val="007D12C0"/>
    <w:rsid w:val="007E11AE"/>
    <w:rsid w:val="007E1AAE"/>
    <w:rsid w:val="007F2275"/>
    <w:rsid w:val="008048A2"/>
    <w:rsid w:val="00806960"/>
    <w:rsid w:val="00815EDA"/>
    <w:rsid w:val="008417B8"/>
    <w:rsid w:val="0085729B"/>
    <w:rsid w:val="008861BF"/>
    <w:rsid w:val="0089067D"/>
    <w:rsid w:val="008A1091"/>
    <w:rsid w:val="008A3A80"/>
    <w:rsid w:val="008B1E23"/>
    <w:rsid w:val="008B2489"/>
    <w:rsid w:val="008F6490"/>
    <w:rsid w:val="0090012E"/>
    <w:rsid w:val="00907DA5"/>
    <w:rsid w:val="00915F0F"/>
    <w:rsid w:val="00925BCC"/>
    <w:rsid w:val="009263F8"/>
    <w:rsid w:val="00931134"/>
    <w:rsid w:val="009377AF"/>
    <w:rsid w:val="0094061A"/>
    <w:rsid w:val="009532DF"/>
    <w:rsid w:val="00971615"/>
    <w:rsid w:val="0097345B"/>
    <w:rsid w:val="00983E14"/>
    <w:rsid w:val="00993270"/>
    <w:rsid w:val="00997019"/>
    <w:rsid w:val="009A5029"/>
    <w:rsid w:val="009A573D"/>
    <w:rsid w:val="009A67F9"/>
    <w:rsid w:val="009A6E10"/>
    <w:rsid w:val="009B2358"/>
    <w:rsid w:val="009C2A2D"/>
    <w:rsid w:val="009D38D5"/>
    <w:rsid w:val="009E0F5C"/>
    <w:rsid w:val="009E7A67"/>
    <w:rsid w:val="009F4649"/>
    <w:rsid w:val="00A01D9E"/>
    <w:rsid w:val="00A05E57"/>
    <w:rsid w:val="00A1488D"/>
    <w:rsid w:val="00A3457D"/>
    <w:rsid w:val="00A367EC"/>
    <w:rsid w:val="00A53F26"/>
    <w:rsid w:val="00A63CD8"/>
    <w:rsid w:val="00A67377"/>
    <w:rsid w:val="00A71C00"/>
    <w:rsid w:val="00A7507C"/>
    <w:rsid w:val="00A97756"/>
    <w:rsid w:val="00AA0CC5"/>
    <w:rsid w:val="00AA5428"/>
    <w:rsid w:val="00AB04BF"/>
    <w:rsid w:val="00AB0B4B"/>
    <w:rsid w:val="00AB6D6F"/>
    <w:rsid w:val="00AE6F93"/>
    <w:rsid w:val="00B024EB"/>
    <w:rsid w:val="00B10DBD"/>
    <w:rsid w:val="00B13417"/>
    <w:rsid w:val="00B16AFE"/>
    <w:rsid w:val="00B20888"/>
    <w:rsid w:val="00B24F5C"/>
    <w:rsid w:val="00B44662"/>
    <w:rsid w:val="00B6499A"/>
    <w:rsid w:val="00B65DD5"/>
    <w:rsid w:val="00B66062"/>
    <w:rsid w:val="00B95957"/>
    <w:rsid w:val="00BA0162"/>
    <w:rsid w:val="00BB3BF8"/>
    <w:rsid w:val="00BB4A0C"/>
    <w:rsid w:val="00BB4FB9"/>
    <w:rsid w:val="00BB5204"/>
    <w:rsid w:val="00BC6392"/>
    <w:rsid w:val="00BC6FD0"/>
    <w:rsid w:val="00BD0D11"/>
    <w:rsid w:val="00BD10B6"/>
    <w:rsid w:val="00BD2E2C"/>
    <w:rsid w:val="00BE00A8"/>
    <w:rsid w:val="00BF5ED6"/>
    <w:rsid w:val="00C07076"/>
    <w:rsid w:val="00C31ADF"/>
    <w:rsid w:val="00C400EC"/>
    <w:rsid w:val="00C44625"/>
    <w:rsid w:val="00C47983"/>
    <w:rsid w:val="00C5426E"/>
    <w:rsid w:val="00C75113"/>
    <w:rsid w:val="00C81116"/>
    <w:rsid w:val="00C830AC"/>
    <w:rsid w:val="00C92C3E"/>
    <w:rsid w:val="00C977B5"/>
    <w:rsid w:val="00CA4A4F"/>
    <w:rsid w:val="00CA5989"/>
    <w:rsid w:val="00CB00DF"/>
    <w:rsid w:val="00CB07DC"/>
    <w:rsid w:val="00CB2E54"/>
    <w:rsid w:val="00CB2FB1"/>
    <w:rsid w:val="00CC091A"/>
    <w:rsid w:val="00CC229F"/>
    <w:rsid w:val="00CD0628"/>
    <w:rsid w:val="00CD6E31"/>
    <w:rsid w:val="00CF4AB0"/>
    <w:rsid w:val="00CF5259"/>
    <w:rsid w:val="00CF7783"/>
    <w:rsid w:val="00D02834"/>
    <w:rsid w:val="00D137AD"/>
    <w:rsid w:val="00D14522"/>
    <w:rsid w:val="00D1722B"/>
    <w:rsid w:val="00D2165E"/>
    <w:rsid w:val="00D32EE2"/>
    <w:rsid w:val="00D406A7"/>
    <w:rsid w:val="00D43EC3"/>
    <w:rsid w:val="00D45CD6"/>
    <w:rsid w:val="00D50D7C"/>
    <w:rsid w:val="00D73C72"/>
    <w:rsid w:val="00D85234"/>
    <w:rsid w:val="00D86C6D"/>
    <w:rsid w:val="00DA65B6"/>
    <w:rsid w:val="00DB155D"/>
    <w:rsid w:val="00DB54DD"/>
    <w:rsid w:val="00DC073B"/>
    <w:rsid w:val="00DC558F"/>
    <w:rsid w:val="00DD01D9"/>
    <w:rsid w:val="00DD427C"/>
    <w:rsid w:val="00DD4EF7"/>
    <w:rsid w:val="00DD5F85"/>
    <w:rsid w:val="00DD68E9"/>
    <w:rsid w:val="00DE010A"/>
    <w:rsid w:val="00DE14A9"/>
    <w:rsid w:val="00DE6C00"/>
    <w:rsid w:val="00E0592B"/>
    <w:rsid w:val="00E05B2E"/>
    <w:rsid w:val="00E31738"/>
    <w:rsid w:val="00E372F7"/>
    <w:rsid w:val="00E76BD7"/>
    <w:rsid w:val="00E805E8"/>
    <w:rsid w:val="00E8192E"/>
    <w:rsid w:val="00E8338F"/>
    <w:rsid w:val="00E86786"/>
    <w:rsid w:val="00E9040C"/>
    <w:rsid w:val="00E906D5"/>
    <w:rsid w:val="00E93D24"/>
    <w:rsid w:val="00EC3794"/>
    <w:rsid w:val="00ED2F80"/>
    <w:rsid w:val="00ED5CFF"/>
    <w:rsid w:val="00EF69B7"/>
    <w:rsid w:val="00F000D5"/>
    <w:rsid w:val="00F15689"/>
    <w:rsid w:val="00F1624E"/>
    <w:rsid w:val="00F16713"/>
    <w:rsid w:val="00F240CC"/>
    <w:rsid w:val="00F2497C"/>
    <w:rsid w:val="00F25525"/>
    <w:rsid w:val="00F266D4"/>
    <w:rsid w:val="00F32F8A"/>
    <w:rsid w:val="00F336FC"/>
    <w:rsid w:val="00F34E3E"/>
    <w:rsid w:val="00F34F35"/>
    <w:rsid w:val="00F50ED3"/>
    <w:rsid w:val="00F61028"/>
    <w:rsid w:val="00F62C84"/>
    <w:rsid w:val="00F642B7"/>
    <w:rsid w:val="00F66759"/>
    <w:rsid w:val="00F66970"/>
    <w:rsid w:val="00F678C7"/>
    <w:rsid w:val="00F810AA"/>
    <w:rsid w:val="00F92533"/>
    <w:rsid w:val="00F96CA5"/>
    <w:rsid w:val="00F96EFB"/>
    <w:rsid w:val="00FA660D"/>
    <w:rsid w:val="00FB43EC"/>
    <w:rsid w:val="00FB6B40"/>
    <w:rsid w:val="00FE3E0F"/>
    <w:rsid w:val="787B1CF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9"/>
    <w:semiHidden/>
    <w:unhideWhenUsed/>
    <w:uiPriority w:val="99"/>
    <w:pPr>
      <w:jc w:val="left"/>
    </w:pPr>
  </w:style>
  <w:style w:type="paragraph" w:styleId="3">
    <w:name w:val="Body Text"/>
    <w:basedOn w:val="1"/>
    <w:link w:val="21"/>
    <w:uiPriority w:val="0"/>
    <w:pPr>
      <w:widowControl/>
      <w:spacing w:after="240"/>
    </w:pPr>
    <w:rPr>
      <w:rFonts w:ascii="Times New Roman" w:hAnsi="Times New Roman"/>
      <w:kern w:val="0"/>
      <w:sz w:val="24"/>
      <w:szCs w:val="24"/>
      <w:lang w:val="en-GB" w:eastAsia="en-GB" w:bidi="ar-AE"/>
    </w:rPr>
  </w:style>
  <w:style w:type="paragraph" w:styleId="4">
    <w:name w:val="Balloon Text"/>
    <w:basedOn w:val="1"/>
    <w:link w:val="17"/>
    <w:semiHidden/>
    <w:unhideWhenUsed/>
    <w:uiPriority w:val="99"/>
    <w:rPr>
      <w:sz w:val="18"/>
      <w:szCs w:val="18"/>
    </w:rPr>
  </w:style>
  <w:style w:type="paragraph" w:styleId="5">
    <w:name w:val="footer"/>
    <w:basedOn w:val="1"/>
    <w:link w:val="16"/>
    <w:unhideWhenUsed/>
    <w:uiPriority w:val="99"/>
    <w:pPr>
      <w:tabs>
        <w:tab w:val="center" w:pos="4153"/>
        <w:tab w:val="right" w:pos="8306"/>
      </w:tabs>
    </w:pPr>
  </w:style>
  <w:style w:type="paragraph" w:styleId="6">
    <w:name w:val="header"/>
    <w:basedOn w:val="1"/>
    <w:link w:val="15"/>
    <w:unhideWhenUsed/>
    <w:uiPriority w:val="99"/>
    <w:pPr>
      <w:tabs>
        <w:tab w:val="center" w:pos="4153"/>
        <w:tab w:val="right" w:pos="8306"/>
      </w:tabs>
    </w:pPr>
  </w:style>
  <w:style w:type="paragraph" w:styleId="7">
    <w:name w:val="footnote text"/>
    <w:basedOn w:val="1"/>
    <w:link w:val="18"/>
    <w:unhideWhenUsed/>
    <w:qFormat/>
    <w:uiPriority w:val="0"/>
    <w:pPr>
      <w:snapToGrid w:val="0"/>
      <w:jc w:val="left"/>
    </w:pPr>
    <w:rPr>
      <w:rFonts w:ascii="Times New Roman" w:hAnsi="Times New Roman"/>
      <w:sz w:val="18"/>
      <w:szCs w:val="18"/>
    </w:rPr>
  </w:style>
  <w:style w:type="paragraph" w:styleId="8">
    <w:name w:val="annotation subject"/>
    <w:basedOn w:val="2"/>
    <w:next w:val="2"/>
    <w:link w:val="20"/>
    <w:semiHidden/>
    <w:unhideWhenUsed/>
    <w:uiPriority w:val="99"/>
    <w:rPr>
      <w:b/>
      <w:bCs/>
    </w:r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0"/>
    <w:rPr>
      <w:color w:val="0563C1" w:themeColor="hyperlink"/>
      <w:u w:val="single"/>
      <w14:textFill>
        <w14:solidFill>
          <w14:schemeClr w14:val="hlink"/>
        </w14:solidFill>
      </w14:textFill>
    </w:rPr>
  </w:style>
  <w:style w:type="character" w:styleId="13">
    <w:name w:val="annotation reference"/>
    <w:basedOn w:val="11"/>
    <w:unhideWhenUsed/>
    <w:uiPriority w:val="99"/>
    <w:rPr>
      <w:sz w:val="21"/>
      <w:szCs w:val="21"/>
    </w:rPr>
  </w:style>
  <w:style w:type="character" w:styleId="14">
    <w:name w:val="footnote reference"/>
    <w:unhideWhenUsed/>
    <w:qFormat/>
    <w:uiPriority w:val="0"/>
    <w:rPr>
      <w:vertAlign w:val="superscript"/>
    </w:rPr>
  </w:style>
  <w:style w:type="character" w:customStyle="1" w:styleId="15">
    <w:name w:val="页眉 字符"/>
    <w:basedOn w:val="11"/>
    <w:link w:val="6"/>
    <w:uiPriority w:val="99"/>
    <w:rPr>
      <w:rFonts w:ascii="Calibri" w:hAnsi="Calibri" w:eastAsia="宋体" w:cs="Times New Roman"/>
    </w:rPr>
  </w:style>
  <w:style w:type="character" w:customStyle="1" w:styleId="16">
    <w:name w:val="页脚 字符"/>
    <w:basedOn w:val="11"/>
    <w:link w:val="5"/>
    <w:uiPriority w:val="99"/>
    <w:rPr>
      <w:rFonts w:ascii="Calibri" w:hAnsi="Calibri" w:eastAsia="宋体" w:cs="Times New Roman"/>
    </w:rPr>
  </w:style>
  <w:style w:type="character" w:customStyle="1" w:styleId="17">
    <w:name w:val="批注框文本 字符"/>
    <w:basedOn w:val="11"/>
    <w:link w:val="4"/>
    <w:semiHidden/>
    <w:uiPriority w:val="99"/>
    <w:rPr>
      <w:rFonts w:ascii="Calibri" w:hAnsi="Calibri" w:eastAsia="宋体" w:cs="Times New Roman"/>
      <w:sz w:val="18"/>
      <w:szCs w:val="18"/>
    </w:rPr>
  </w:style>
  <w:style w:type="character" w:customStyle="1" w:styleId="18">
    <w:name w:val="脚注文本 字符"/>
    <w:basedOn w:val="11"/>
    <w:link w:val="7"/>
    <w:uiPriority w:val="0"/>
    <w:rPr>
      <w:rFonts w:ascii="Times New Roman" w:hAnsi="Times New Roman" w:eastAsia="宋体" w:cs="Times New Roman"/>
      <w:sz w:val="18"/>
      <w:szCs w:val="18"/>
    </w:rPr>
  </w:style>
  <w:style w:type="character" w:customStyle="1" w:styleId="19">
    <w:name w:val="批注文字 字符"/>
    <w:basedOn w:val="11"/>
    <w:link w:val="2"/>
    <w:semiHidden/>
    <w:uiPriority w:val="99"/>
    <w:rPr>
      <w:rFonts w:ascii="Calibri" w:hAnsi="Calibri" w:eastAsia="宋体" w:cs="Times New Roman"/>
    </w:rPr>
  </w:style>
  <w:style w:type="character" w:customStyle="1" w:styleId="20">
    <w:name w:val="批注主题 字符"/>
    <w:basedOn w:val="19"/>
    <w:link w:val="8"/>
    <w:semiHidden/>
    <w:uiPriority w:val="99"/>
    <w:rPr>
      <w:rFonts w:ascii="Calibri" w:hAnsi="Calibri" w:eastAsia="宋体" w:cs="Times New Roman"/>
      <w:b/>
      <w:bCs/>
    </w:rPr>
  </w:style>
  <w:style w:type="character" w:customStyle="1" w:styleId="21">
    <w:name w:val="正文文本 字符"/>
    <w:basedOn w:val="11"/>
    <w:link w:val="3"/>
    <w:uiPriority w:val="0"/>
    <w:rPr>
      <w:rFonts w:ascii="Times New Roman" w:hAnsi="Times New Roman" w:eastAsia="宋体" w:cs="Times New Roman"/>
      <w:kern w:val="0"/>
      <w:sz w:val="24"/>
      <w:szCs w:val="24"/>
      <w:lang w:val="en-GB" w:eastAsia="en-GB" w:bidi="ar-AE"/>
    </w:rPr>
  </w:style>
  <w:style w:type="paragraph" w:customStyle="1" w:styleId="22">
    <w:name w:val="Revision"/>
    <w:hidden/>
    <w:semiHidden/>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114</Words>
  <Characters>656</Characters>
  <Lines>5</Lines>
  <Paragraphs>1</Paragraphs>
  <TotalTime>1</TotalTime>
  <ScaleCrop>false</ScaleCrop>
  <LinksUpToDate>false</LinksUpToDate>
  <CharactersWithSpaces>769</CharactersWithSpaces>
  <Application>WPS Office_11.8.2.10337_F1E327BC-269C-435d-A152-05C5408002CA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2023-09-26T17:38:00Z</dcterms:created>
  <dcterms:modified xsi:type="dcterms:W3CDTF">2023-09-28T11:01:55Z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etDate">
    <vt:lpwstr>2022-04-27T03:12:02Z</vt:lpwstr>
  </property>
  <property fmtid="{D5CDD505-2E9C-101B-9397-08002B2CF9AE}" pid="4" name="MSIP_Label_42e67a54-274b-43d7-8098-b3ba5f50e576_Method">
    <vt:lpwstr>Standard</vt:lpwstr>
  </property>
  <property fmtid="{D5CDD505-2E9C-101B-9397-08002B2CF9AE}" pid="5" name="MSIP_Label_42e67a54-274b-43d7-8098-b3ba5f50e576_Name">
    <vt:lpwstr>42e67a54-274b-43d7-8098-b3ba5f50e576</vt:lpwstr>
  </property>
  <property fmtid="{D5CDD505-2E9C-101B-9397-08002B2CF9AE}" pid="6" name="MSIP_Label_42e67a54-274b-43d7-8098-b3ba5f50e576_SiteId">
    <vt:lpwstr>7f0b44d2-04f8-4672-bf5d-4676796468a3</vt:lpwstr>
  </property>
  <property fmtid="{D5CDD505-2E9C-101B-9397-08002B2CF9AE}" pid="7" name="MSIP_Label_42e67a54-274b-43d7-8098-b3ba5f50e576_ActionId">
    <vt:lpwstr>8d082ebb-4aaa-4f66-a2d1-23906e2aef0d</vt:lpwstr>
  </property>
  <property fmtid="{D5CDD505-2E9C-101B-9397-08002B2CF9AE}" pid="8" name="MSIP_Label_42e67a54-274b-43d7-8098-b3ba5f50e576_ContentBits">
    <vt:lpwstr>0</vt:lpwstr>
  </property>
  <property fmtid="{D5CDD505-2E9C-101B-9397-08002B2CF9AE}" pid="9" name="cpCombinedRef">
    <vt:lpwstr>0093891-0000035 DBO1: 2003427683.1</vt:lpwstr>
  </property>
  <property fmtid="{D5CDD505-2E9C-101B-9397-08002B2CF9AE}" pid="10" name="Client">
    <vt:lpwstr>0093891</vt:lpwstr>
  </property>
  <property fmtid="{D5CDD505-2E9C-101B-9397-08002B2CF9AE}" pid="11" name="Matter">
    <vt:lpwstr>0000035</vt:lpwstr>
  </property>
  <property fmtid="{D5CDD505-2E9C-101B-9397-08002B2CF9AE}" pid="12" name="cpClientMatter">
    <vt:lpwstr>0093891-0000035</vt:lpwstr>
  </property>
  <property fmtid="{D5CDD505-2E9C-101B-9397-08002B2CF9AE}" pid="13" name="cpDocRef">
    <vt:lpwstr>DBO1: 2003427683.1</vt:lpwstr>
  </property>
  <property fmtid="{D5CDD505-2E9C-101B-9397-08002B2CF9AE}" pid="14" name="KSOProductBuildVer">
    <vt:lpwstr>2052-11.8.2.10337</vt:lpwstr>
  </property>
</Properties>
</file>