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bCs/>
          <w:sz w:val="36"/>
          <w:szCs w:val="36"/>
          <w:lang w:eastAsia="zh-CN"/>
        </w:rPr>
        <w:t>经营者集中简易案件公示表</w:t>
      </w:r>
    </w:p>
    <w:tbl>
      <w:tblPr>
        <w:tblStyle w:val="13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GB" w:eastAsia="zh-CN" w:bidi="ar-AE"/>
              </w:rPr>
              <w:t>Sun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>·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GB" w:eastAsia="zh-CN" w:bidi="ar-AE"/>
              </w:rPr>
              <w:t>Tox株式会社与三井化学东赛璐株式会社合并案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交易前，联合和德山分别持有Sun·Tox的66%和34%股份，联合单独控制Sun·Tox；三井化学拥有三井东赛璐的100%股份并单独控制三井东赛璐；本次交易后，Sun·Tox完全并入三井东赛璐，联合、三井化学和德山将分别拥有合并后实体51%、34%（至少）和15%（至多）的股份，联合和三井化学共同控制合并后实体，德山对合并后实体不享有控制权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</w:tcPr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spacing w:after="0"/>
              <w:rPr>
                <w:rFonts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iCs/>
                <w:lang w:eastAsia="zh-CN"/>
              </w:rPr>
              <w:t>Sun</w:t>
            </w:r>
            <w:r>
              <w:rPr>
                <w:rFonts w:eastAsia="宋体" w:cs="Times New Roman"/>
                <w:bCs/>
                <w:iCs/>
                <w:lang w:eastAsia="zh-CN"/>
              </w:rPr>
              <w:t>·</w:t>
            </w:r>
            <w:r>
              <w:rPr>
                <w:rFonts w:hint="eastAsia" w:ascii="宋体" w:hAnsi="宋体" w:eastAsia="宋体" w:cs="Times New Roman"/>
                <w:bCs/>
                <w:iCs/>
                <w:lang w:eastAsia="zh-CN"/>
              </w:rPr>
              <w:t>Tox</w:t>
            </w:r>
          </w:p>
        </w:tc>
        <w:tc>
          <w:tcPr>
            <w:tcW w:w="6093" w:type="dxa"/>
          </w:tcPr>
          <w:p>
            <w:pPr>
              <w:adjustRightInd w:val="0"/>
              <w:snapToGrid w:val="0"/>
              <w:spacing w:after="0"/>
              <w:rPr>
                <w:rFonts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Sun</w:t>
            </w:r>
            <w:r>
              <w:rPr>
                <w:rFonts w:ascii="Times New Roman" w:hAnsi="Times New Roman" w:eastAsia="宋体" w:cs="Times New Roman"/>
                <w:bCs/>
                <w:iCs/>
                <w:sz w:val="24"/>
                <w:szCs w:val="24"/>
                <w:lang w:eastAsia="zh-CN"/>
              </w:rPr>
              <w:t>·</w:t>
            </w: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Tox于</w:t>
            </w:r>
            <w:r>
              <w:rPr>
                <w:rFonts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1992</w:t>
            </w: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年</w:t>
            </w:r>
            <w:r>
              <w:rPr>
                <w:rFonts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2</w:t>
            </w: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月</w:t>
            </w:r>
            <w:r>
              <w:rPr>
                <w:rFonts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14</w:t>
            </w: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日成立于日本，主要业务为生产销售塑料薄膜及销售薄膜加工品等。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iCs/>
                <w:lang w:eastAsia="zh-CN"/>
              </w:rPr>
              <w:t>Sun</w:t>
            </w:r>
            <w:r>
              <w:rPr>
                <w:rFonts w:eastAsia="宋体" w:cs="Times New Roman"/>
                <w:bCs/>
                <w:iCs/>
                <w:lang w:eastAsia="zh-CN"/>
              </w:rPr>
              <w:t>·</w:t>
            </w:r>
            <w:r>
              <w:rPr>
                <w:rFonts w:hint="eastAsia" w:ascii="宋体" w:hAnsi="宋体" w:eastAsia="宋体" w:cs="Times New Roman"/>
                <w:bCs/>
                <w:iCs/>
                <w:lang w:eastAsia="zh-CN"/>
              </w:rPr>
              <w:t>Tox最终控制人为联合，主要业务为造纸、瓦楞包装、纸器、软包装、重包装以及海外事业等。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</w:tcPr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spacing w:after="0"/>
              <w:rPr>
                <w:rFonts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iCs/>
                <w:lang w:eastAsia="zh-CN"/>
              </w:rPr>
              <w:t>三井东赛璐</w:t>
            </w:r>
          </w:p>
        </w:tc>
        <w:tc>
          <w:tcPr>
            <w:tcW w:w="6093" w:type="dxa"/>
          </w:tcPr>
          <w:p>
            <w:pPr>
              <w:adjustRightInd w:val="0"/>
              <w:snapToGrid w:val="0"/>
              <w:spacing w:after="0"/>
              <w:rPr>
                <w:rFonts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三井东赛璐于</w:t>
            </w:r>
            <w:r>
              <w:rPr>
                <w:rFonts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1929</w:t>
            </w: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年</w:t>
            </w:r>
            <w:r>
              <w:rPr>
                <w:rFonts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月</w:t>
            </w:r>
            <w:r>
              <w:rPr>
                <w:rFonts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19</w:t>
            </w: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日成立于日本，主要业务为包装解决方案、工业薄膜和板材和保护膜。</w:t>
            </w:r>
          </w:p>
          <w:p>
            <w:pPr>
              <w:adjustRightInd w:val="0"/>
              <w:snapToGrid w:val="0"/>
              <w:spacing w:after="0"/>
              <w:rPr>
                <w:rFonts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iCs/>
                <w:sz w:val="24"/>
                <w:szCs w:val="24"/>
                <w:lang w:eastAsia="zh-CN"/>
              </w:rPr>
              <w:t>三井东赛璐最终控制人为三井化学，主要业务为生活与医疗保健、移动事业、信息和通信技术等解决方案以及基础材料与绿色原料。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纵向关联：</w:t>
            </w:r>
          </w:p>
          <w:tbl>
            <w:tblPr>
              <w:tblStyle w:val="13"/>
              <w:tblW w:w="750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67"/>
              <w:gridCol w:w="1843"/>
              <w:gridCol w:w="329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6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843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329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2022</w:t>
                  </w: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67" w:type="dxa"/>
                </w:tcPr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上游：聚丙烯树脂</w:t>
                  </w: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</w:p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中游：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 xml:space="preserve"> </w:t>
                  </w: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0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（1）流延聚丙烯（“</w:t>
                  </w:r>
                  <w:r>
                    <w:rPr>
                      <w:rFonts w:hint="eastAsia" w:ascii="宋体" w:hAnsi="宋体" w:eastAsia="宋体" w:cs="Times New Roman"/>
                      <w:b/>
                      <w:bCs/>
                      <w:iCs/>
                      <w:sz w:val="24"/>
                      <w:szCs w:val="24"/>
                      <w:lang w:val="en-US" w:eastAsia="zh-CN"/>
                    </w:rPr>
                    <w:t>CPP</w:t>
                  </w: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”）薄膜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 xml:space="preserve"> </w:t>
                  </w: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0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（2）定向聚丙烯（“</w:t>
                  </w:r>
                  <w:r>
                    <w:rPr>
                      <w:rFonts w:hint="eastAsia" w:ascii="宋体" w:hAnsi="宋体" w:eastAsia="宋体" w:cs="Times New Roman"/>
                      <w:b/>
                      <w:bCs/>
                      <w:iCs/>
                      <w:sz w:val="24"/>
                      <w:szCs w:val="24"/>
                      <w:lang w:val="en-US" w:eastAsia="zh-CN"/>
                    </w:rPr>
                    <w:t>OPP</w:t>
                  </w: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”）薄膜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 xml:space="preserve">上游：全球 </w:t>
                  </w: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</w:p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中</w:t>
                  </w:r>
                  <w:bookmarkStart w:id="0" w:name="_GoBack"/>
                  <w:bookmarkEnd w:id="0"/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游：中国境内</w:t>
                  </w:r>
                </w:p>
              </w:tc>
              <w:tc>
                <w:tcPr>
                  <w:tcW w:w="3298" w:type="dxa"/>
                </w:tcPr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上游：全球聚丙烯树脂市场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ind w:left="603" w:leftChars="274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三井化学：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0-5%</w:t>
                  </w: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46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</w:p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中游：</w:t>
                  </w:r>
                </w:p>
                <w:p>
                  <w:pPr>
                    <w:pStyle w:val="22"/>
                    <w:numPr>
                      <w:ilvl w:val="1"/>
                      <w:numId w:val="3"/>
                    </w:numPr>
                    <w:adjustRightInd w:val="0"/>
                    <w:snapToGrid w:val="0"/>
                    <w:spacing w:after="0" w:line="240" w:lineRule="auto"/>
                    <w:ind w:left="604" w:hanging="71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中国境内CPP薄膜市场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ind w:left="603" w:leftChars="274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Sun</w:t>
                  </w:r>
                  <w:r>
                    <w:rPr>
                      <w:rFonts w:ascii="Times New Roman" w:hAnsi="Times New Roman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·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Tox</w:t>
                  </w: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：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0-5%</w:t>
                  </w:r>
                </w:p>
                <w:p>
                  <w:pPr>
                    <w:pStyle w:val="22"/>
                    <w:numPr>
                      <w:ilvl w:val="1"/>
                      <w:numId w:val="3"/>
                    </w:numPr>
                    <w:adjustRightInd w:val="0"/>
                    <w:snapToGrid w:val="0"/>
                    <w:spacing w:after="0" w:line="240" w:lineRule="auto"/>
                    <w:ind w:left="604" w:hanging="71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中国境内OPP薄膜市场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ind w:left="603" w:leftChars="274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Sun</w:t>
                  </w:r>
                  <w:r>
                    <w:rPr>
                      <w:rFonts w:ascii="Times New Roman" w:hAnsi="Times New Roman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·</w:t>
                  </w:r>
                  <w:r>
                    <w:rPr>
                      <w:rFonts w:cs="Times New Roman" w:asciiTheme="minorEastAsia" w:hAnsiTheme="minorEastAsia"/>
                      <w:bCs/>
                      <w:iCs/>
                      <w:sz w:val="24"/>
                      <w:szCs w:val="24"/>
                      <w:lang w:eastAsia="zh-CN"/>
                    </w:rPr>
                    <w:t>T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ox</w:t>
                  </w: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：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0-5%</w:t>
                  </w: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31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67" w:type="dxa"/>
                </w:tcPr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</w:p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下游：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 xml:space="preserve"> </w:t>
                  </w: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0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（1）医药用软包装</w:t>
                  </w: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0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（2）宠物食品用软包装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</w:p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下游：中国境内</w:t>
                  </w:r>
                </w:p>
              </w:tc>
              <w:tc>
                <w:tcPr>
                  <w:tcW w:w="3298" w:type="dxa"/>
                </w:tcPr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456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</w:p>
                <w:p>
                  <w:pPr>
                    <w:pStyle w:val="22"/>
                    <w:adjustRightInd w:val="0"/>
                    <w:snapToGrid w:val="0"/>
                    <w:spacing w:after="0" w:line="240" w:lineRule="auto"/>
                    <w:ind w:left="46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</w:p>
                <w:p>
                  <w:pPr>
                    <w:pStyle w:val="22"/>
                    <w:numPr>
                      <w:ilvl w:val="0"/>
                      <w:numId w:val="2"/>
                    </w:numPr>
                    <w:adjustRightInd w:val="0"/>
                    <w:snapToGrid w:val="0"/>
                    <w:spacing w:after="0" w:line="240" w:lineRule="auto"/>
                    <w:ind w:left="195" w:hanging="195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下游：</w:t>
                  </w:r>
                </w:p>
                <w:p>
                  <w:pPr>
                    <w:pStyle w:val="22"/>
                    <w:numPr>
                      <w:ilvl w:val="0"/>
                      <w:numId w:val="4"/>
                    </w:numPr>
                    <w:adjustRightInd w:val="0"/>
                    <w:snapToGrid w:val="0"/>
                    <w:spacing w:after="0" w:line="240" w:lineRule="auto"/>
                    <w:ind w:left="604" w:hanging="709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中国境内医药用软包装市场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ind w:left="603" w:leftChars="274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联合：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0-5%</w:t>
                  </w:r>
                </w:p>
                <w:p>
                  <w:pPr>
                    <w:pStyle w:val="22"/>
                    <w:numPr>
                      <w:ilvl w:val="0"/>
                      <w:numId w:val="4"/>
                    </w:numPr>
                    <w:adjustRightInd w:val="0"/>
                    <w:snapToGrid w:val="0"/>
                    <w:spacing w:after="0" w:line="240" w:lineRule="auto"/>
                    <w:ind w:left="604" w:hanging="709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val="en-US" w:eastAsia="zh-CN"/>
                    </w:rPr>
                    <w:t>中国境内宠物食品用软包装市场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ind w:left="603" w:leftChars="274"/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联合：</w:t>
                  </w:r>
                  <w:r>
                    <w:rPr>
                      <w:rFonts w:ascii="宋体" w:hAnsi="宋体" w:eastAsia="宋体" w:cs="Times New Roman"/>
                      <w:bCs/>
                      <w:iCs/>
                      <w:sz w:val="24"/>
                      <w:szCs w:val="24"/>
                      <w:lang w:eastAsia="zh-CN"/>
                    </w:rPr>
                    <w:t>0-5%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</w:tr>
    </w:tbl>
    <w:p>
      <w:pPr>
        <w:pStyle w:val="5"/>
        <w:adjustRightInd w:val="0"/>
        <w:snapToGrid w:val="0"/>
        <w:spacing w:after="0"/>
        <w:rPr>
          <w:rFonts w:ascii="Arial" w:hAnsi="Arial" w:eastAsia="楷体_GB2312" w:cs="Arial"/>
          <w:b/>
          <w:color w:val="000000"/>
          <w:sz w:val="22"/>
          <w:szCs w:val="22"/>
          <w:lang w:eastAsia="zh-CN"/>
        </w:rPr>
      </w:pPr>
    </w:p>
    <w:p>
      <w:pPr>
        <w:pStyle w:val="5"/>
        <w:rPr>
          <w:rFonts w:cs="Times New Roman"/>
          <w:lang w:eastAsia="zh-CN"/>
        </w:rPr>
      </w:pP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1164D"/>
    <w:multiLevelType w:val="multilevel"/>
    <w:tmpl w:val="0561164D"/>
    <w:lvl w:ilvl="0" w:tentative="0">
      <w:start w:val="1"/>
      <w:numFmt w:val="decimal"/>
      <w:lvlText w:val="（%1）"/>
      <w:lvlJc w:val="left"/>
      <w:pPr>
        <w:ind w:left="1035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55" w:hanging="420"/>
      </w:pPr>
    </w:lvl>
    <w:lvl w:ilvl="2" w:tentative="0">
      <w:start w:val="1"/>
      <w:numFmt w:val="lowerRoman"/>
      <w:lvlText w:val="%3."/>
      <w:lvlJc w:val="right"/>
      <w:pPr>
        <w:ind w:left="1875" w:hanging="420"/>
      </w:pPr>
    </w:lvl>
    <w:lvl w:ilvl="3" w:tentative="0">
      <w:start w:val="1"/>
      <w:numFmt w:val="decimal"/>
      <w:lvlText w:val="%4."/>
      <w:lvlJc w:val="left"/>
      <w:pPr>
        <w:ind w:left="2295" w:hanging="420"/>
      </w:pPr>
    </w:lvl>
    <w:lvl w:ilvl="4" w:tentative="0">
      <w:start w:val="1"/>
      <w:numFmt w:val="lowerLetter"/>
      <w:lvlText w:val="%5)"/>
      <w:lvlJc w:val="left"/>
      <w:pPr>
        <w:ind w:left="2715" w:hanging="420"/>
      </w:pPr>
    </w:lvl>
    <w:lvl w:ilvl="5" w:tentative="0">
      <w:start w:val="1"/>
      <w:numFmt w:val="lowerRoman"/>
      <w:lvlText w:val="%6."/>
      <w:lvlJc w:val="right"/>
      <w:pPr>
        <w:ind w:left="3135" w:hanging="420"/>
      </w:pPr>
    </w:lvl>
    <w:lvl w:ilvl="6" w:tentative="0">
      <w:start w:val="1"/>
      <w:numFmt w:val="decimal"/>
      <w:lvlText w:val="%7."/>
      <w:lvlJc w:val="left"/>
      <w:pPr>
        <w:ind w:left="3555" w:hanging="420"/>
      </w:pPr>
    </w:lvl>
    <w:lvl w:ilvl="7" w:tentative="0">
      <w:start w:val="1"/>
      <w:numFmt w:val="lowerLetter"/>
      <w:lvlText w:val="%8)"/>
      <w:lvlJc w:val="left"/>
      <w:pPr>
        <w:ind w:left="3975" w:hanging="420"/>
      </w:pPr>
    </w:lvl>
    <w:lvl w:ilvl="8" w:tentative="0">
      <w:start w:val="1"/>
      <w:numFmt w:val="lowerRoman"/>
      <w:lvlText w:val="%9."/>
      <w:lvlJc w:val="right"/>
      <w:pPr>
        <w:ind w:left="4395" w:hanging="420"/>
      </w:pPr>
    </w:lvl>
  </w:abstractNum>
  <w:abstractNum w:abstractNumId="1">
    <w:nsid w:val="07F856B4"/>
    <w:multiLevelType w:val="multilevel"/>
    <w:tmpl w:val="07F856B4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–"/>
      <w:lvlJc w:val="left"/>
      <w:pPr>
        <w:ind w:left="840" w:hanging="420"/>
      </w:pPr>
      <w:rPr>
        <w:rFonts w:hint="eastAsia" w:ascii="宋体" w:hAnsi="宋体" w:eastAsia="宋体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25A4593"/>
    <w:multiLevelType w:val="multilevel"/>
    <w:tmpl w:val="125A459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9DB6DF3"/>
    <w:multiLevelType w:val="multilevel"/>
    <w:tmpl w:val="59DB6DF3"/>
    <w:lvl w:ilvl="0" w:tentative="0">
      <w:start w:val="1"/>
      <w:numFmt w:val="decimal"/>
      <w:lvlText w:val="（%1）"/>
      <w:lvlJc w:val="left"/>
      <w:pPr>
        <w:ind w:left="615" w:hanging="4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ind w:left="1035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55" w:hanging="420"/>
      </w:pPr>
    </w:lvl>
    <w:lvl w:ilvl="3" w:tentative="0">
      <w:start w:val="1"/>
      <w:numFmt w:val="decimal"/>
      <w:lvlText w:val="%4."/>
      <w:lvlJc w:val="left"/>
      <w:pPr>
        <w:ind w:left="1875" w:hanging="420"/>
      </w:pPr>
    </w:lvl>
    <w:lvl w:ilvl="4" w:tentative="0">
      <w:start w:val="1"/>
      <w:numFmt w:val="lowerLetter"/>
      <w:lvlText w:val="%5)"/>
      <w:lvlJc w:val="left"/>
      <w:pPr>
        <w:ind w:left="2295" w:hanging="420"/>
      </w:pPr>
    </w:lvl>
    <w:lvl w:ilvl="5" w:tentative="0">
      <w:start w:val="1"/>
      <w:numFmt w:val="lowerRoman"/>
      <w:lvlText w:val="%6."/>
      <w:lvlJc w:val="right"/>
      <w:pPr>
        <w:ind w:left="2715" w:hanging="420"/>
      </w:pPr>
    </w:lvl>
    <w:lvl w:ilvl="6" w:tentative="0">
      <w:start w:val="1"/>
      <w:numFmt w:val="decimal"/>
      <w:lvlText w:val="%7."/>
      <w:lvlJc w:val="left"/>
      <w:pPr>
        <w:ind w:left="3135" w:hanging="420"/>
      </w:pPr>
    </w:lvl>
    <w:lvl w:ilvl="7" w:tentative="0">
      <w:start w:val="1"/>
      <w:numFmt w:val="lowerLetter"/>
      <w:lvlText w:val="%8)"/>
      <w:lvlJc w:val="left"/>
      <w:pPr>
        <w:ind w:left="3555" w:hanging="420"/>
      </w:pPr>
    </w:lvl>
    <w:lvl w:ilvl="8" w:tentative="0">
      <w:start w:val="1"/>
      <w:numFmt w:val="lowerRoman"/>
      <w:lvlText w:val="%9."/>
      <w:lvlJc w:val="right"/>
      <w:pPr>
        <w:ind w:left="3975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true"/>
  <w:bordersDoNotSurroundFooter w:val="tru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S2MDIyMzC2MDM0NTFQ0lEKTi0uzszPAykwrgUA6qd0kSwAAAA="/>
  </w:docVars>
  <w:rsids>
    <w:rsidRoot w:val="00F50116"/>
    <w:rsid w:val="00003FED"/>
    <w:rsid w:val="000225A9"/>
    <w:rsid w:val="00023AFD"/>
    <w:rsid w:val="00030F57"/>
    <w:rsid w:val="000378A3"/>
    <w:rsid w:val="000378EA"/>
    <w:rsid w:val="000418E3"/>
    <w:rsid w:val="000515B7"/>
    <w:rsid w:val="00056F02"/>
    <w:rsid w:val="00061369"/>
    <w:rsid w:val="00066183"/>
    <w:rsid w:val="000661E9"/>
    <w:rsid w:val="00074058"/>
    <w:rsid w:val="0007438D"/>
    <w:rsid w:val="000860A2"/>
    <w:rsid w:val="0008695F"/>
    <w:rsid w:val="000A4C0A"/>
    <w:rsid w:val="000A5720"/>
    <w:rsid w:val="000B18FF"/>
    <w:rsid w:val="000C305A"/>
    <w:rsid w:val="000D0247"/>
    <w:rsid w:val="000D18CF"/>
    <w:rsid w:val="000E2884"/>
    <w:rsid w:val="000E4D88"/>
    <w:rsid w:val="000E566C"/>
    <w:rsid w:val="000F37D6"/>
    <w:rsid w:val="000F42BF"/>
    <w:rsid w:val="000F6C37"/>
    <w:rsid w:val="000F6D3B"/>
    <w:rsid w:val="00106A4A"/>
    <w:rsid w:val="00112EE7"/>
    <w:rsid w:val="00113737"/>
    <w:rsid w:val="0011520B"/>
    <w:rsid w:val="00116C80"/>
    <w:rsid w:val="00121E5F"/>
    <w:rsid w:val="00124455"/>
    <w:rsid w:val="00155838"/>
    <w:rsid w:val="00155C37"/>
    <w:rsid w:val="001662DA"/>
    <w:rsid w:val="0017084F"/>
    <w:rsid w:val="00171078"/>
    <w:rsid w:val="0017373B"/>
    <w:rsid w:val="00175369"/>
    <w:rsid w:val="001B0E2E"/>
    <w:rsid w:val="001C14A0"/>
    <w:rsid w:val="001C366D"/>
    <w:rsid w:val="001C7F04"/>
    <w:rsid w:val="001D4D74"/>
    <w:rsid w:val="001E7E83"/>
    <w:rsid w:val="001F124F"/>
    <w:rsid w:val="001F1A41"/>
    <w:rsid w:val="001F571D"/>
    <w:rsid w:val="002056BF"/>
    <w:rsid w:val="00206980"/>
    <w:rsid w:val="00217BBC"/>
    <w:rsid w:val="00230D16"/>
    <w:rsid w:val="00233A14"/>
    <w:rsid w:val="00234A2C"/>
    <w:rsid w:val="002365C5"/>
    <w:rsid w:val="0025006E"/>
    <w:rsid w:val="002578DA"/>
    <w:rsid w:val="002617F7"/>
    <w:rsid w:val="00262C86"/>
    <w:rsid w:val="002652FA"/>
    <w:rsid w:val="002677D8"/>
    <w:rsid w:val="002A27F3"/>
    <w:rsid w:val="002A7A15"/>
    <w:rsid w:val="002B2EBC"/>
    <w:rsid w:val="002B3632"/>
    <w:rsid w:val="002B41C8"/>
    <w:rsid w:val="002B67B5"/>
    <w:rsid w:val="002C00F5"/>
    <w:rsid w:val="002C08F9"/>
    <w:rsid w:val="002C1E75"/>
    <w:rsid w:val="002C69D2"/>
    <w:rsid w:val="002D1108"/>
    <w:rsid w:val="002E17F6"/>
    <w:rsid w:val="002F0800"/>
    <w:rsid w:val="00301087"/>
    <w:rsid w:val="003108A1"/>
    <w:rsid w:val="00326253"/>
    <w:rsid w:val="00334FE7"/>
    <w:rsid w:val="0036554F"/>
    <w:rsid w:val="00370FB1"/>
    <w:rsid w:val="003746A2"/>
    <w:rsid w:val="00375C89"/>
    <w:rsid w:val="00395052"/>
    <w:rsid w:val="003968D8"/>
    <w:rsid w:val="003A20FB"/>
    <w:rsid w:val="003A3194"/>
    <w:rsid w:val="003A36D0"/>
    <w:rsid w:val="003B1FC6"/>
    <w:rsid w:val="003C2FB1"/>
    <w:rsid w:val="003C323B"/>
    <w:rsid w:val="00402E3E"/>
    <w:rsid w:val="004339FD"/>
    <w:rsid w:val="004565DA"/>
    <w:rsid w:val="00461929"/>
    <w:rsid w:val="00461940"/>
    <w:rsid w:val="004679ED"/>
    <w:rsid w:val="00471429"/>
    <w:rsid w:val="004774F8"/>
    <w:rsid w:val="00483874"/>
    <w:rsid w:val="00490837"/>
    <w:rsid w:val="004A365A"/>
    <w:rsid w:val="004A40CA"/>
    <w:rsid w:val="004A445C"/>
    <w:rsid w:val="004A636F"/>
    <w:rsid w:val="004C25E8"/>
    <w:rsid w:val="004E07A6"/>
    <w:rsid w:val="004E755A"/>
    <w:rsid w:val="004F027F"/>
    <w:rsid w:val="00500D9F"/>
    <w:rsid w:val="00511914"/>
    <w:rsid w:val="005138ED"/>
    <w:rsid w:val="00514D8E"/>
    <w:rsid w:val="005152DE"/>
    <w:rsid w:val="00520727"/>
    <w:rsid w:val="005224B2"/>
    <w:rsid w:val="00531635"/>
    <w:rsid w:val="00543484"/>
    <w:rsid w:val="0054573B"/>
    <w:rsid w:val="00550B23"/>
    <w:rsid w:val="005663BA"/>
    <w:rsid w:val="0058308E"/>
    <w:rsid w:val="00592592"/>
    <w:rsid w:val="00593328"/>
    <w:rsid w:val="005A15AB"/>
    <w:rsid w:val="005B02C3"/>
    <w:rsid w:val="005C0209"/>
    <w:rsid w:val="005C4F13"/>
    <w:rsid w:val="005D392E"/>
    <w:rsid w:val="005F686B"/>
    <w:rsid w:val="00601FB1"/>
    <w:rsid w:val="00602F9A"/>
    <w:rsid w:val="00612EA5"/>
    <w:rsid w:val="0062159D"/>
    <w:rsid w:val="00636942"/>
    <w:rsid w:val="00640354"/>
    <w:rsid w:val="0064151B"/>
    <w:rsid w:val="00641609"/>
    <w:rsid w:val="0064480E"/>
    <w:rsid w:val="006473F9"/>
    <w:rsid w:val="006523FE"/>
    <w:rsid w:val="006618D5"/>
    <w:rsid w:val="0066258B"/>
    <w:rsid w:val="006742AB"/>
    <w:rsid w:val="0069400F"/>
    <w:rsid w:val="006A0A0C"/>
    <w:rsid w:val="006A0B32"/>
    <w:rsid w:val="006B115A"/>
    <w:rsid w:val="006B3173"/>
    <w:rsid w:val="006B40D5"/>
    <w:rsid w:val="006C273B"/>
    <w:rsid w:val="006D6A1D"/>
    <w:rsid w:val="006E1294"/>
    <w:rsid w:val="006E3550"/>
    <w:rsid w:val="006E7FF8"/>
    <w:rsid w:val="006F1188"/>
    <w:rsid w:val="006F7CBA"/>
    <w:rsid w:val="007063A5"/>
    <w:rsid w:val="00707256"/>
    <w:rsid w:val="007139DE"/>
    <w:rsid w:val="00714EEE"/>
    <w:rsid w:val="00720EC6"/>
    <w:rsid w:val="00721D2F"/>
    <w:rsid w:val="00734CB1"/>
    <w:rsid w:val="007561A8"/>
    <w:rsid w:val="007663D6"/>
    <w:rsid w:val="0077295A"/>
    <w:rsid w:val="00787C9E"/>
    <w:rsid w:val="00792E51"/>
    <w:rsid w:val="007956B0"/>
    <w:rsid w:val="007A15C5"/>
    <w:rsid w:val="007B06A1"/>
    <w:rsid w:val="007B06B1"/>
    <w:rsid w:val="007B27E5"/>
    <w:rsid w:val="007B386F"/>
    <w:rsid w:val="007B3D0D"/>
    <w:rsid w:val="007C3328"/>
    <w:rsid w:val="007C51AA"/>
    <w:rsid w:val="007C6924"/>
    <w:rsid w:val="007D2DF8"/>
    <w:rsid w:val="007D3E93"/>
    <w:rsid w:val="007D75F4"/>
    <w:rsid w:val="0080453A"/>
    <w:rsid w:val="008105F4"/>
    <w:rsid w:val="00815CF8"/>
    <w:rsid w:val="0082591A"/>
    <w:rsid w:val="0083225F"/>
    <w:rsid w:val="008327BB"/>
    <w:rsid w:val="00837246"/>
    <w:rsid w:val="008424A1"/>
    <w:rsid w:val="00850E11"/>
    <w:rsid w:val="00852A51"/>
    <w:rsid w:val="008545D0"/>
    <w:rsid w:val="00857075"/>
    <w:rsid w:val="0087472A"/>
    <w:rsid w:val="008764FD"/>
    <w:rsid w:val="008770E4"/>
    <w:rsid w:val="008818F1"/>
    <w:rsid w:val="008869E5"/>
    <w:rsid w:val="00895B87"/>
    <w:rsid w:val="008A20D3"/>
    <w:rsid w:val="008B2396"/>
    <w:rsid w:val="008B4613"/>
    <w:rsid w:val="008C1DCC"/>
    <w:rsid w:val="008C2222"/>
    <w:rsid w:val="008D06EA"/>
    <w:rsid w:val="008E0320"/>
    <w:rsid w:val="008E17C8"/>
    <w:rsid w:val="008E1D4D"/>
    <w:rsid w:val="008E494F"/>
    <w:rsid w:val="008E6540"/>
    <w:rsid w:val="008F55C8"/>
    <w:rsid w:val="00905A50"/>
    <w:rsid w:val="0091460F"/>
    <w:rsid w:val="009250BD"/>
    <w:rsid w:val="0093164E"/>
    <w:rsid w:val="00934324"/>
    <w:rsid w:val="00934415"/>
    <w:rsid w:val="00934C80"/>
    <w:rsid w:val="0093638D"/>
    <w:rsid w:val="009434A0"/>
    <w:rsid w:val="00944C81"/>
    <w:rsid w:val="00945C50"/>
    <w:rsid w:val="00950B17"/>
    <w:rsid w:val="00951CED"/>
    <w:rsid w:val="0095646E"/>
    <w:rsid w:val="0096050F"/>
    <w:rsid w:val="009629FB"/>
    <w:rsid w:val="00970001"/>
    <w:rsid w:val="00972A08"/>
    <w:rsid w:val="00974BF2"/>
    <w:rsid w:val="00982D80"/>
    <w:rsid w:val="009870A6"/>
    <w:rsid w:val="009917A6"/>
    <w:rsid w:val="009A1047"/>
    <w:rsid w:val="009A2461"/>
    <w:rsid w:val="009A6CD1"/>
    <w:rsid w:val="009B4F19"/>
    <w:rsid w:val="009B6449"/>
    <w:rsid w:val="009B647F"/>
    <w:rsid w:val="009C0CCD"/>
    <w:rsid w:val="009C3F2E"/>
    <w:rsid w:val="009D6A87"/>
    <w:rsid w:val="009E0587"/>
    <w:rsid w:val="009F1832"/>
    <w:rsid w:val="009F4695"/>
    <w:rsid w:val="009F7056"/>
    <w:rsid w:val="00A0579E"/>
    <w:rsid w:val="00A15E89"/>
    <w:rsid w:val="00A27620"/>
    <w:rsid w:val="00A31F17"/>
    <w:rsid w:val="00A34ADE"/>
    <w:rsid w:val="00A360AD"/>
    <w:rsid w:val="00A40722"/>
    <w:rsid w:val="00A541F7"/>
    <w:rsid w:val="00A72B76"/>
    <w:rsid w:val="00A75345"/>
    <w:rsid w:val="00A81BD3"/>
    <w:rsid w:val="00A831BA"/>
    <w:rsid w:val="00A95E45"/>
    <w:rsid w:val="00AA2F59"/>
    <w:rsid w:val="00AB19F9"/>
    <w:rsid w:val="00AB1EA5"/>
    <w:rsid w:val="00AD1C2B"/>
    <w:rsid w:val="00AD2861"/>
    <w:rsid w:val="00AE64F8"/>
    <w:rsid w:val="00AE66B8"/>
    <w:rsid w:val="00AF0CA2"/>
    <w:rsid w:val="00AF3A86"/>
    <w:rsid w:val="00AF3ACE"/>
    <w:rsid w:val="00AF4FBD"/>
    <w:rsid w:val="00AF7198"/>
    <w:rsid w:val="00B06C1D"/>
    <w:rsid w:val="00B24633"/>
    <w:rsid w:val="00B30AFC"/>
    <w:rsid w:val="00B314BC"/>
    <w:rsid w:val="00B36243"/>
    <w:rsid w:val="00B365A6"/>
    <w:rsid w:val="00B4633C"/>
    <w:rsid w:val="00B472C0"/>
    <w:rsid w:val="00B707DC"/>
    <w:rsid w:val="00B731FC"/>
    <w:rsid w:val="00B83CD0"/>
    <w:rsid w:val="00B84B5D"/>
    <w:rsid w:val="00B87A1C"/>
    <w:rsid w:val="00B9434A"/>
    <w:rsid w:val="00BA4F1E"/>
    <w:rsid w:val="00BB7E5B"/>
    <w:rsid w:val="00BC0D10"/>
    <w:rsid w:val="00BC1767"/>
    <w:rsid w:val="00BC2847"/>
    <w:rsid w:val="00BD3BD9"/>
    <w:rsid w:val="00BE466D"/>
    <w:rsid w:val="00BE740D"/>
    <w:rsid w:val="00BF2251"/>
    <w:rsid w:val="00BF39D4"/>
    <w:rsid w:val="00BF5029"/>
    <w:rsid w:val="00C02325"/>
    <w:rsid w:val="00C03537"/>
    <w:rsid w:val="00C1553B"/>
    <w:rsid w:val="00C209C3"/>
    <w:rsid w:val="00C215FB"/>
    <w:rsid w:val="00C27D4C"/>
    <w:rsid w:val="00C66631"/>
    <w:rsid w:val="00C81FD7"/>
    <w:rsid w:val="00C82174"/>
    <w:rsid w:val="00C82377"/>
    <w:rsid w:val="00C87663"/>
    <w:rsid w:val="00C9000C"/>
    <w:rsid w:val="00C96929"/>
    <w:rsid w:val="00C97BCC"/>
    <w:rsid w:val="00CA45A0"/>
    <w:rsid w:val="00CA56E7"/>
    <w:rsid w:val="00CA77FB"/>
    <w:rsid w:val="00CB0EAE"/>
    <w:rsid w:val="00CB49B4"/>
    <w:rsid w:val="00CD06A3"/>
    <w:rsid w:val="00CD644C"/>
    <w:rsid w:val="00CE6B46"/>
    <w:rsid w:val="00CF5392"/>
    <w:rsid w:val="00D007B3"/>
    <w:rsid w:val="00D03281"/>
    <w:rsid w:val="00D04273"/>
    <w:rsid w:val="00D11851"/>
    <w:rsid w:val="00D13437"/>
    <w:rsid w:val="00D24222"/>
    <w:rsid w:val="00D350D3"/>
    <w:rsid w:val="00D35A46"/>
    <w:rsid w:val="00D40E0E"/>
    <w:rsid w:val="00D460D9"/>
    <w:rsid w:val="00D5115A"/>
    <w:rsid w:val="00D752B4"/>
    <w:rsid w:val="00D850EB"/>
    <w:rsid w:val="00D92009"/>
    <w:rsid w:val="00DA3C07"/>
    <w:rsid w:val="00DB08F0"/>
    <w:rsid w:val="00DB1591"/>
    <w:rsid w:val="00DB2325"/>
    <w:rsid w:val="00DB482A"/>
    <w:rsid w:val="00DB656B"/>
    <w:rsid w:val="00DD20ED"/>
    <w:rsid w:val="00DD3F5D"/>
    <w:rsid w:val="00DD543A"/>
    <w:rsid w:val="00DD6396"/>
    <w:rsid w:val="00DD69E6"/>
    <w:rsid w:val="00DE69BC"/>
    <w:rsid w:val="00E01704"/>
    <w:rsid w:val="00E04570"/>
    <w:rsid w:val="00E079F8"/>
    <w:rsid w:val="00E15C3C"/>
    <w:rsid w:val="00E21DA9"/>
    <w:rsid w:val="00E24A03"/>
    <w:rsid w:val="00E429A1"/>
    <w:rsid w:val="00E42F08"/>
    <w:rsid w:val="00E43F2B"/>
    <w:rsid w:val="00E46150"/>
    <w:rsid w:val="00E55218"/>
    <w:rsid w:val="00E71C7E"/>
    <w:rsid w:val="00E726F8"/>
    <w:rsid w:val="00E74653"/>
    <w:rsid w:val="00E77AD1"/>
    <w:rsid w:val="00E81A34"/>
    <w:rsid w:val="00E82954"/>
    <w:rsid w:val="00E85635"/>
    <w:rsid w:val="00E86754"/>
    <w:rsid w:val="00E915D2"/>
    <w:rsid w:val="00EA2905"/>
    <w:rsid w:val="00EB3068"/>
    <w:rsid w:val="00EC003A"/>
    <w:rsid w:val="00EC2E64"/>
    <w:rsid w:val="00EC5342"/>
    <w:rsid w:val="00ED1FD3"/>
    <w:rsid w:val="00ED72F9"/>
    <w:rsid w:val="00EE499A"/>
    <w:rsid w:val="00EE6EB7"/>
    <w:rsid w:val="00EF59C0"/>
    <w:rsid w:val="00F0519E"/>
    <w:rsid w:val="00F07302"/>
    <w:rsid w:val="00F07674"/>
    <w:rsid w:val="00F264CB"/>
    <w:rsid w:val="00F31D85"/>
    <w:rsid w:val="00F35C37"/>
    <w:rsid w:val="00F50116"/>
    <w:rsid w:val="00F536DC"/>
    <w:rsid w:val="00F627F8"/>
    <w:rsid w:val="00F63A70"/>
    <w:rsid w:val="00F65EC9"/>
    <w:rsid w:val="00F80399"/>
    <w:rsid w:val="00F8134E"/>
    <w:rsid w:val="00F8299C"/>
    <w:rsid w:val="00F837C9"/>
    <w:rsid w:val="00F93F1A"/>
    <w:rsid w:val="00FB4D24"/>
    <w:rsid w:val="00FD040A"/>
    <w:rsid w:val="00FD1E22"/>
    <w:rsid w:val="00FD2089"/>
    <w:rsid w:val="00FD417F"/>
    <w:rsid w:val="00FD7E60"/>
    <w:rsid w:val="00FE2453"/>
    <w:rsid w:val="00FE3B8B"/>
    <w:rsid w:val="00FF32B1"/>
    <w:rsid w:val="00FF3537"/>
    <w:rsid w:val="00FF47AA"/>
    <w:rsid w:val="00FF52FC"/>
    <w:rsid w:val="050B7D22"/>
    <w:rsid w:val="06403420"/>
    <w:rsid w:val="1798149F"/>
    <w:rsid w:val="1DAA66BB"/>
    <w:rsid w:val="1FD760CB"/>
    <w:rsid w:val="2A9C4861"/>
    <w:rsid w:val="30C60569"/>
    <w:rsid w:val="59A06A1A"/>
    <w:rsid w:val="680B59F8"/>
    <w:rsid w:val="6D8F78A0"/>
    <w:rsid w:val="6FFA43CB"/>
    <w:rsid w:val="77040668"/>
    <w:rsid w:val="7796B6D9"/>
    <w:rsid w:val="79E3228C"/>
    <w:rsid w:val="7E105434"/>
    <w:rsid w:val="7EF3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after="156" w:afterLines="50" w:line="640" w:lineRule="exact"/>
      <w:jc w:val="center"/>
      <w:outlineLvl w:val="0"/>
    </w:pPr>
    <w:rPr>
      <w:rFonts w:ascii="方正小标宋简体" w:eastAsia="方正小标宋简体"/>
      <w:kern w:val="0"/>
      <w:sz w:val="44"/>
      <w:szCs w:val="36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macro"/>
    <w:link w:val="29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4">
    <w:name w:val="annotation text"/>
    <w:basedOn w:val="1"/>
    <w:link w:val="26"/>
    <w:unhideWhenUsed/>
    <w:qFormat/>
    <w:uiPriority w:val="0"/>
  </w:style>
  <w:style w:type="paragraph" w:styleId="5">
    <w:name w:val="Body Text"/>
    <w:basedOn w:val="1"/>
    <w:link w:val="23"/>
    <w:qFormat/>
    <w:uiPriority w:val="0"/>
    <w:pPr>
      <w:spacing w:after="240" w:line="240" w:lineRule="auto"/>
      <w:jc w:val="both"/>
    </w:pPr>
    <w:rPr>
      <w:rFonts w:ascii="Times New Roman" w:hAnsi="Times New Roman" w:cs="Simplified Arabic"/>
      <w:sz w:val="24"/>
      <w:szCs w:val="24"/>
      <w:lang w:val="en-GB" w:eastAsia="en-GB" w:bidi="ar-AE"/>
    </w:rPr>
  </w:style>
  <w:style w:type="paragraph" w:styleId="6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8">
    <w:name w:val="header"/>
    <w:basedOn w:val="1"/>
    <w:link w:val="1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9">
    <w:name w:val="Subtitle"/>
    <w:basedOn w:val="1"/>
    <w:next w:val="1"/>
    <w:link w:val="28"/>
    <w:qFormat/>
    <w:uiPriority w:val="11"/>
    <w:pPr>
      <w:widowControl w:val="0"/>
      <w:spacing w:after="60" w:line="240" w:lineRule="auto"/>
      <w:jc w:val="center"/>
      <w:outlineLvl w:val="1"/>
    </w:pPr>
    <w:rPr>
      <w:rFonts w:ascii="Cambria" w:hAnsi="Cambria" w:eastAsia="宋体" w:cs="Times New Roman"/>
      <w:kern w:val="2"/>
      <w:sz w:val="24"/>
      <w:szCs w:val="24"/>
      <w:lang w:eastAsia="zh-CN"/>
    </w:rPr>
  </w:style>
  <w:style w:type="paragraph" w:styleId="10">
    <w:name w:val="footnote text"/>
    <w:basedOn w:val="1"/>
    <w:next w:val="1"/>
    <w:link w:val="21"/>
    <w:qFormat/>
    <w:uiPriority w:val="99"/>
    <w:pPr>
      <w:spacing w:after="120" w:line="240" w:lineRule="auto"/>
      <w:ind w:left="340" w:hanging="340"/>
      <w:jc w:val="both"/>
    </w:pPr>
    <w:rPr>
      <w:rFonts w:ascii="Times New Roman" w:hAnsi="Times New Roman" w:cs="Simplified Arabic"/>
      <w:sz w:val="20"/>
      <w:szCs w:val="20"/>
      <w:lang w:val="en-GB" w:bidi="ar-AE"/>
    </w:rPr>
  </w:style>
  <w:style w:type="paragraph" w:styleId="11">
    <w:name w:val="Body Text 2"/>
    <w:basedOn w:val="1"/>
    <w:link w:val="25"/>
    <w:semiHidden/>
    <w:unhideWhenUsed/>
    <w:qFormat/>
    <w:uiPriority w:val="99"/>
    <w:pPr>
      <w:spacing w:after="120" w:line="480" w:lineRule="auto"/>
    </w:pPr>
  </w:style>
  <w:style w:type="paragraph" w:styleId="12">
    <w:name w:val="annotation subject"/>
    <w:basedOn w:val="4"/>
    <w:next w:val="4"/>
    <w:link w:val="27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annotation reference"/>
    <w:basedOn w:val="15"/>
    <w:unhideWhenUsed/>
    <w:qFormat/>
    <w:uiPriority w:val="0"/>
    <w:rPr>
      <w:sz w:val="21"/>
      <w:szCs w:val="21"/>
    </w:rPr>
  </w:style>
  <w:style w:type="character" w:styleId="18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19">
    <w:name w:val="页眉 Char"/>
    <w:basedOn w:val="15"/>
    <w:link w:val="8"/>
    <w:qFormat/>
    <w:uiPriority w:val="99"/>
  </w:style>
  <w:style w:type="character" w:customStyle="1" w:styleId="20">
    <w:name w:val="页脚 Char"/>
    <w:basedOn w:val="15"/>
    <w:link w:val="7"/>
    <w:qFormat/>
    <w:uiPriority w:val="99"/>
  </w:style>
  <w:style w:type="character" w:customStyle="1" w:styleId="21">
    <w:name w:val="脚注文本 Char"/>
    <w:basedOn w:val="15"/>
    <w:link w:val="10"/>
    <w:qFormat/>
    <w:uiPriority w:val="99"/>
    <w:rPr>
      <w:rFonts w:ascii="Times New Roman" w:hAnsi="Times New Roman" w:cs="Simplified Arabic"/>
      <w:sz w:val="20"/>
      <w:szCs w:val="20"/>
      <w:lang w:val="en-GB" w:bidi="ar-AE"/>
    </w:rPr>
  </w:style>
  <w:style w:type="paragraph" w:styleId="22">
    <w:name w:val="List Paragraph"/>
    <w:basedOn w:val="1"/>
    <w:link w:val="30"/>
    <w:qFormat/>
    <w:uiPriority w:val="34"/>
    <w:pPr>
      <w:ind w:left="720"/>
      <w:contextualSpacing/>
    </w:pPr>
    <w:rPr>
      <w:lang w:val="en-GB"/>
    </w:rPr>
  </w:style>
  <w:style w:type="character" w:customStyle="1" w:styleId="23">
    <w:name w:val="正文文本 Char"/>
    <w:basedOn w:val="15"/>
    <w:link w:val="5"/>
    <w:qFormat/>
    <w:uiPriority w:val="0"/>
    <w:rPr>
      <w:rFonts w:ascii="Times New Roman" w:hAnsi="Times New Roman" w:cs="Simplified Arabic"/>
      <w:sz w:val="24"/>
      <w:szCs w:val="24"/>
      <w:lang w:val="en-GB" w:eastAsia="en-GB" w:bidi="ar-AE"/>
    </w:rPr>
  </w:style>
  <w:style w:type="character" w:customStyle="1" w:styleId="24">
    <w:name w:val="批注框文本 Char"/>
    <w:basedOn w:val="15"/>
    <w:link w:val="6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5">
    <w:name w:val="正文文本 2 Char"/>
    <w:basedOn w:val="15"/>
    <w:link w:val="11"/>
    <w:qFormat/>
    <w:uiPriority w:val="0"/>
  </w:style>
  <w:style w:type="character" w:customStyle="1" w:styleId="26">
    <w:name w:val="批注文字 Char"/>
    <w:basedOn w:val="15"/>
    <w:link w:val="4"/>
    <w:qFormat/>
    <w:uiPriority w:val="0"/>
  </w:style>
  <w:style w:type="character" w:customStyle="1" w:styleId="27">
    <w:name w:val="批注主题 Char"/>
    <w:basedOn w:val="26"/>
    <w:link w:val="12"/>
    <w:semiHidden/>
    <w:qFormat/>
    <w:uiPriority w:val="99"/>
    <w:rPr>
      <w:b/>
      <w:bCs/>
    </w:rPr>
  </w:style>
  <w:style w:type="character" w:customStyle="1" w:styleId="28">
    <w:name w:val="副标题 Char"/>
    <w:basedOn w:val="15"/>
    <w:link w:val="9"/>
    <w:qFormat/>
    <w:uiPriority w:val="11"/>
    <w:rPr>
      <w:rFonts w:ascii="Cambria" w:hAnsi="Cambria" w:eastAsia="宋体"/>
      <w:kern w:val="2"/>
      <w:sz w:val="24"/>
      <w:szCs w:val="24"/>
    </w:rPr>
  </w:style>
  <w:style w:type="character" w:customStyle="1" w:styleId="29">
    <w:name w:val="宏文本 Char"/>
    <w:basedOn w:val="15"/>
    <w:link w:val="3"/>
    <w:qFormat/>
    <w:uiPriority w:val="0"/>
    <w:rPr>
      <w:rFonts w:ascii="Courier New" w:hAnsi="Courier New" w:eastAsia="宋体" w:cs="Courier New"/>
      <w:lang w:val="en-GB" w:bidi="ar-AE"/>
    </w:rPr>
  </w:style>
  <w:style w:type="character" w:customStyle="1" w:styleId="30">
    <w:name w:val="列出段落 Char"/>
    <w:link w:val="22"/>
    <w:qFormat/>
    <w:locked/>
    <w:uiPriority w:val="34"/>
    <w:rPr>
      <w:rFonts w:asciiTheme="minorHAnsi" w:hAnsiTheme="minorHAnsi" w:cstheme="minorBidi"/>
      <w:sz w:val="22"/>
      <w:szCs w:val="22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182</Words>
  <Characters>1039</Characters>
  <Lines>8</Lines>
  <Paragraphs>2</Paragraphs>
  <TotalTime>1</TotalTime>
  <ScaleCrop>false</ScaleCrop>
  <LinksUpToDate>false</LinksUpToDate>
  <CharactersWithSpaces>1219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2023-05-22T12:37:00Z</dcterms:created>
  <dc:creator>user</dc:creator>
  <cp:keywords>Corning Non-Corning</cp:keywords>
  <cp:lastModifiedBy>greatwall</cp:lastModifiedBy>
  <dcterms:modified xsi:type="dcterms:W3CDTF">2023-10-23T09:46:58Z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ContentTypeId">
    <vt:lpwstr>0x0101008C632149742E6D41B346B9688D99D8DC</vt:lpwstr>
  </property>
  <property fmtid="{D5CDD505-2E9C-101B-9397-08002B2CF9AE}" pid="4" name="TitusGUID">
    <vt:lpwstr>97db6cd9-f102-47ab-b1fc-9b09bdeaeae3</vt:lpwstr>
  </property>
  <property fmtid="{D5CDD505-2E9C-101B-9397-08002B2CF9AE}" pid="5" name="CorningConfigurationVersion">
    <vt:lpwstr>3.0.11.5.8EN-SL</vt:lpwstr>
  </property>
  <property fmtid="{D5CDD505-2E9C-101B-9397-08002B2CF9AE}" pid="6" name="CorningFullClassification">
    <vt:lpwstr>Non-Corning</vt:lpwstr>
  </property>
  <property fmtid="{D5CDD505-2E9C-101B-9397-08002B2CF9AE}" pid="7" name="CCTCode">
    <vt:lpwstr>NC</vt:lpwstr>
  </property>
  <property fmtid="{D5CDD505-2E9C-101B-9397-08002B2CF9AE}" pid="8" name="CRCCode">
    <vt:lpwstr/>
  </property>
  <property fmtid="{D5CDD505-2E9C-101B-9397-08002B2CF9AE}" pid="9" name="CORNINGClassification">
    <vt:lpwstr>Non-Corning</vt:lpwstr>
  </property>
  <property fmtid="{D5CDD505-2E9C-101B-9397-08002B2CF9AE}" pid="10" name="CORNINGLabelExtension">
    <vt:lpwstr>None</vt:lpwstr>
  </property>
  <property fmtid="{D5CDD505-2E9C-101B-9397-08002B2CF9AE}" pid="11" name="CORNINGDisplayOptionalMarkingLanguage">
    <vt:lpwstr>None</vt:lpwstr>
  </property>
  <property fmtid="{D5CDD505-2E9C-101B-9397-08002B2CF9AE}" pid="12" name="CORNINGMarkingOption">
    <vt:lpwstr>Automatic</vt:lpwstr>
  </property>
</Properties>
</file>