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A5A6C" w14:textId="77777777" w:rsidR="00F878AC" w:rsidRDefault="0000000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F878AC" w14:paraId="46991088" w14:textId="77777777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367BC2CB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4ECAC41" w14:textId="19637A0D" w:rsidR="00830C24" w:rsidRPr="00830C24" w:rsidRDefault="00375D32" w:rsidP="00830C24">
            <w:pPr>
              <w:pStyle w:val="a0"/>
            </w:pPr>
            <w:r w:rsidRPr="00712BD5">
              <w:rPr>
                <w:rFonts w:hint="eastAsia"/>
                <w:kern w:val="0"/>
                <w:szCs w:val="21"/>
              </w:rPr>
              <w:t>东莞金融控股集团有限公司</w:t>
            </w:r>
            <w:r w:rsidR="00830C24" w:rsidRPr="003361FA">
              <w:rPr>
                <w:kern w:val="0"/>
                <w:szCs w:val="21"/>
              </w:rPr>
              <w:t>收购</w:t>
            </w:r>
            <w:bookmarkStart w:id="0" w:name="_Hlk145267002"/>
            <w:r w:rsidR="00830C24">
              <w:rPr>
                <w:rFonts w:hint="eastAsia"/>
                <w:kern w:val="0"/>
                <w:szCs w:val="21"/>
              </w:rPr>
              <w:t>广东聚润达集团有限责任公司</w:t>
            </w:r>
            <w:bookmarkEnd w:id="0"/>
            <w:r w:rsidR="00830C24" w:rsidRPr="003361FA">
              <w:rPr>
                <w:kern w:val="0"/>
                <w:szCs w:val="21"/>
              </w:rPr>
              <w:t>股权案</w:t>
            </w:r>
          </w:p>
        </w:tc>
      </w:tr>
      <w:tr w:rsidR="00F878AC" w14:paraId="4659051C" w14:textId="77777777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91BFFDA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CB12601" w14:textId="236FC9CF" w:rsidR="00830C24" w:rsidRPr="00375D32" w:rsidRDefault="00375D32">
            <w:pPr>
              <w:adjustRightInd w:val="0"/>
              <w:snapToGrid w:val="0"/>
              <w:rPr>
                <w:kern w:val="0"/>
                <w:szCs w:val="21"/>
              </w:rPr>
            </w:pPr>
            <w:r w:rsidRPr="00712BD5">
              <w:rPr>
                <w:rFonts w:hint="eastAsia"/>
                <w:kern w:val="0"/>
                <w:szCs w:val="21"/>
              </w:rPr>
              <w:t>东莞金融控股集团有限公司</w:t>
            </w:r>
            <w:r>
              <w:rPr>
                <w:rFonts w:hint="eastAsia"/>
                <w:kern w:val="0"/>
                <w:szCs w:val="21"/>
              </w:rPr>
              <w:t>（以下简称“东莞金控集团”）与</w:t>
            </w:r>
            <w:r w:rsidRPr="00712BD5">
              <w:rPr>
                <w:rFonts w:hint="eastAsia"/>
                <w:kern w:val="0"/>
                <w:szCs w:val="21"/>
              </w:rPr>
              <w:t>东莞市电力发展有限公司</w:t>
            </w:r>
            <w:r>
              <w:rPr>
                <w:rFonts w:hint="eastAsia"/>
                <w:kern w:val="0"/>
                <w:szCs w:val="21"/>
              </w:rPr>
              <w:t>（以下简称“东莞电力”）签署协议，东莞金控集团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拟收购东莞电力持有的</w:t>
            </w:r>
            <w:r w:rsidR="00830C24">
              <w:rPr>
                <w:rFonts w:hint="eastAsia"/>
                <w:kern w:val="0"/>
                <w:szCs w:val="21"/>
              </w:rPr>
              <w:t>广东聚润达集团有限责任公司（以下简称“聚润达集团”）</w:t>
            </w:r>
            <w:r w:rsidR="00830C24">
              <w:rPr>
                <w:rFonts w:hint="eastAsia"/>
                <w:kern w:val="0"/>
                <w:szCs w:val="21"/>
              </w:rPr>
              <w:t>5</w:t>
            </w:r>
            <w:r w:rsidR="00830C24">
              <w:rPr>
                <w:kern w:val="0"/>
                <w:szCs w:val="21"/>
              </w:rPr>
              <w:t>1%</w:t>
            </w:r>
            <w:r w:rsidR="00830C24">
              <w:rPr>
                <w:rFonts w:hint="eastAsia"/>
                <w:kern w:val="0"/>
                <w:szCs w:val="21"/>
              </w:rPr>
              <w:t>股权。聚润达集团主要从事电力工程施工业务。</w:t>
            </w:r>
          </w:p>
          <w:p w14:paraId="42335537" w14:textId="28CB8BDF" w:rsidR="00F878AC" w:rsidRDefault="00000000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交易前，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东莞电力</w:t>
            </w:r>
            <w:r>
              <w:rPr>
                <w:rFonts w:ascii="宋体" w:hAnsi="宋体" w:cs="宋体" w:hint="eastAsia"/>
                <w:szCs w:val="21"/>
              </w:rPr>
              <w:t>持有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聚润达集团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100</w:t>
            </w:r>
            <w:r>
              <w:rPr>
                <w:rFonts w:ascii="宋体" w:hAnsi="宋体" w:cs="宋体" w:hint="eastAsia"/>
                <w:szCs w:val="21"/>
              </w:rPr>
              <w:t>%的股权，单独控制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聚润达集团</w:t>
            </w:r>
            <w:r>
              <w:rPr>
                <w:rFonts w:ascii="宋体" w:hAnsi="宋体" w:cs="宋体" w:hint="eastAsia"/>
                <w:szCs w:val="21"/>
              </w:rPr>
              <w:t>。交易后，</w:t>
            </w:r>
            <w:r w:rsidR="00375D32">
              <w:rPr>
                <w:rFonts w:ascii="宋体" w:hAnsi="宋体" w:cs="宋体" w:hint="eastAsia"/>
                <w:bCs/>
                <w:color w:val="000000"/>
                <w:szCs w:val="21"/>
              </w:rPr>
              <w:t>东莞金控集团</w:t>
            </w:r>
            <w:r>
              <w:rPr>
                <w:rFonts w:ascii="宋体" w:hAnsi="宋体" w:cs="宋体" w:hint="eastAsia"/>
                <w:szCs w:val="21"/>
              </w:rPr>
              <w:t>和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东莞电力分别持有聚润达集团5</w:t>
            </w:r>
            <w:r w:rsidR="00830C24">
              <w:rPr>
                <w:rFonts w:ascii="宋体" w:hAnsi="宋体" w:cs="宋体"/>
                <w:bCs/>
                <w:color w:val="000000"/>
                <w:szCs w:val="21"/>
              </w:rPr>
              <w:t>1%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、4</w:t>
            </w:r>
            <w:r w:rsidR="00830C24">
              <w:rPr>
                <w:rFonts w:ascii="宋体" w:hAnsi="宋体" w:cs="宋体"/>
                <w:bCs/>
                <w:color w:val="000000"/>
                <w:szCs w:val="21"/>
              </w:rPr>
              <w:t>9%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股权，</w:t>
            </w:r>
            <w:r>
              <w:rPr>
                <w:rFonts w:ascii="宋体" w:hAnsi="宋体" w:cs="宋体" w:hint="eastAsia"/>
                <w:szCs w:val="21"/>
              </w:rPr>
              <w:t>共同控制</w:t>
            </w:r>
            <w:r w:rsidR="00830C24">
              <w:rPr>
                <w:rFonts w:ascii="宋体" w:hAnsi="宋体" w:cs="宋体" w:hint="eastAsia"/>
                <w:bCs/>
                <w:color w:val="000000"/>
                <w:szCs w:val="21"/>
              </w:rPr>
              <w:t>聚润达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集团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</w:tc>
      </w:tr>
      <w:tr w:rsidR="00F878AC" w14:paraId="26B36414" w14:textId="77777777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025CCC0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252CC9D4" w14:textId="5DE6DFAF" w:rsidR="00F878AC" w:rsidRDefault="00830C24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东莞金控</w:t>
            </w:r>
            <w:r w:rsidR="00907FBE">
              <w:rPr>
                <w:rFonts w:ascii="宋体" w:hAnsi="宋体" w:cs="宋体" w:hint="eastAsia"/>
                <w:bCs/>
                <w:color w:val="000000"/>
                <w:szCs w:val="21"/>
              </w:rPr>
              <w:t>集团</w:t>
            </w:r>
          </w:p>
        </w:tc>
        <w:tc>
          <w:tcPr>
            <w:tcW w:w="6093" w:type="dxa"/>
            <w:vAlign w:val="center"/>
          </w:tcPr>
          <w:p w14:paraId="1A40AEBD" w14:textId="61F3EDD9" w:rsidR="00F365D1" w:rsidRDefault="00907FB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东莞金控集团于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996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>成立于广东省东莞市，</w:t>
            </w:r>
            <w:r w:rsidR="00D51B94">
              <w:rPr>
                <w:rFonts w:hint="eastAsia"/>
              </w:rPr>
              <w:t>东莞金控集团</w:t>
            </w:r>
            <w:r w:rsidR="00D51B94">
              <w:t>是以从事金融业务为主的东莞市属国有独资金融控股集团，作为东莞市政府整合市属金融股权的金控平台，公司的业务主要由下属参控股公司运营，目前</w:t>
            </w:r>
            <w:r w:rsidR="00D51B94">
              <w:rPr>
                <w:rFonts w:hint="eastAsia"/>
              </w:rPr>
              <w:t>东莞金控集团</w:t>
            </w:r>
            <w:r w:rsidR="00D51B94">
              <w:t>的业务主要分为信托业务、私募基金业务、资产管理业务、期货业务和战略投资业务五部分。</w:t>
            </w:r>
          </w:p>
          <w:p w14:paraId="4D5DE8A8" w14:textId="6AE6D994" w:rsidR="00F878AC" w:rsidRDefault="003D2761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东莞金控集团最终控制人为</w:t>
            </w:r>
            <w:r>
              <w:rPr>
                <w:rFonts w:hint="eastAsia"/>
                <w:szCs w:val="21"/>
              </w:rPr>
              <w:t>东莞市人民政府国有资产监督管理委员会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F878AC" w14:paraId="613657BC" w14:textId="77777777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B130E16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 w14:paraId="35102C06" w14:textId="550E1AE6" w:rsidR="00F878AC" w:rsidRDefault="00830C24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东莞电力</w:t>
            </w:r>
          </w:p>
          <w:p w14:paraId="4875A757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6093" w:type="dxa"/>
            <w:vAlign w:val="center"/>
          </w:tcPr>
          <w:p w14:paraId="64A1812E" w14:textId="27124073" w:rsidR="00F878AC" w:rsidRDefault="00F365D1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东莞电力</w:t>
            </w:r>
            <w:r>
              <w:rPr>
                <w:rFonts w:ascii="宋体" w:hAnsi="宋体" w:cs="宋体" w:hint="eastAsia"/>
                <w:szCs w:val="21"/>
              </w:rPr>
              <w:t>于</w:t>
            </w:r>
            <w:r w:rsidRPr="009848DA">
              <w:rPr>
                <w:szCs w:val="21"/>
              </w:rPr>
              <w:t>1993</w:t>
            </w:r>
            <w:r w:rsidRPr="009848DA">
              <w:rPr>
                <w:rFonts w:hint="eastAsia"/>
                <w:szCs w:val="21"/>
              </w:rPr>
              <w:t>年</w:t>
            </w:r>
            <w:r w:rsidRPr="009848DA">
              <w:rPr>
                <w:szCs w:val="21"/>
              </w:rPr>
              <w:t>01</w:t>
            </w:r>
            <w:r w:rsidRPr="009848DA">
              <w:rPr>
                <w:rFonts w:hint="eastAsia"/>
                <w:szCs w:val="21"/>
              </w:rPr>
              <w:t>月</w:t>
            </w:r>
            <w:r w:rsidRPr="009848DA">
              <w:rPr>
                <w:szCs w:val="21"/>
              </w:rPr>
              <w:t>12</w:t>
            </w:r>
            <w:r w:rsidRPr="009848DA"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cs="宋体" w:hint="eastAsia"/>
                <w:szCs w:val="21"/>
              </w:rPr>
              <w:t>成立于广东省东莞市，东莞电力为控股平台、</w:t>
            </w:r>
            <w:r>
              <w:rPr>
                <w:rFonts w:hint="eastAsia"/>
                <w:szCs w:val="21"/>
              </w:rPr>
              <w:t>自身未实际开展业务经营，通过子公司聚润达集团</w:t>
            </w:r>
            <w:r w:rsidR="006E20A8">
              <w:rPr>
                <w:rFonts w:hint="eastAsia"/>
                <w:szCs w:val="21"/>
              </w:rPr>
              <w:t>主要开展</w:t>
            </w:r>
            <w:r>
              <w:rPr>
                <w:rFonts w:hint="eastAsia"/>
                <w:szCs w:val="21"/>
              </w:rPr>
              <w:t>电力工程</w:t>
            </w:r>
            <w:r w:rsidR="006E20A8">
              <w:rPr>
                <w:rFonts w:hint="eastAsia"/>
                <w:szCs w:val="21"/>
              </w:rPr>
              <w:t>施工</w:t>
            </w:r>
            <w:r>
              <w:rPr>
                <w:rFonts w:hint="eastAsia"/>
                <w:szCs w:val="21"/>
              </w:rPr>
              <w:t>业务</w:t>
            </w:r>
            <w:r w:rsidRPr="009848DA">
              <w:rPr>
                <w:rFonts w:hint="eastAsia"/>
                <w:szCs w:val="21"/>
              </w:rPr>
              <w:t>。</w:t>
            </w:r>
          </w:p>
          <w:p w14:paraId="22E5B3FB" w14:textId="27F60469" w:rsidR="00F878AC" w:rsidRDefault="00F365D1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东莞电力</w:t>
            </w:r>
            <w:r>
              <w:rPr>
                <w:rFonts w:ascii="宋体" w:hAnsi="宋体" w:cs="宋体" w:hint="eastAsia"/>
                <w:szCs w:val="21"/>
              </w:rPr>
              <w:t>最终控制人为中国南方电网有限责任公司，主要从事南方五省区电力供应、区域电网管理、电力交易与调度业务。</w:t>
            </w:r>
          </w:p>
        </w:tc>
      </w:tr>
      <w:tr w:rsidR="00F878AC" w14:paraId="60504A40" w14:textId="7777777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D09FEF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A948F74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1、在同一相关市场，所有参与集中的经营者所占市场份额之和小于15%。</w:t>
            </w:r>
          </w:p>
        </w:tc>
      </w:tr>
      <w:tr w:rsidR="00F878AC" w14:paraId="09D54851" w14:textId="7777777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33D75C9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7DC4F26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2、存在上下游关系的参与集中的经营者，在上下游市场所占的市场份额均小于25%。</w:t>
            </w:r>
          </w:p>
        </w:tc>
      </w:tr>
      <w:tr w:rsidR="00F878AC" w14:paraId="662CC369" w14:textId="7777777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643F7EF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88B619F" w14:textId="4C8F1569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878AC" w14:paraId="445C4690" w14:textId="7777777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18B41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581CF8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878AC" w14:paraId="39B6EA65" w14:textId="7777777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30BCE84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6FE6D61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878AC" w14:paraId="15D1D824" w14:textId="7777777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94AFB76" w14:textId="77777777" w:rsidR="00F878AC" w:rsidRDefault="00F878AC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C9D9E62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878AC" w14:paraId="382054B7" w14:textId="77777777">
        <w:trPr>
          <w:trHeight w:val="1250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E5D9BF2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8345599" w14:textId="7777777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混合集中：</w:t>
            </w:r>
          </w:p>
          <w:p w14:paraId="6AC4C1BF" w14:textId="18595CA7" w:rsidR="00F878AC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2022年中国境内输配电工程施工市场</w:t>
            </w:r>
            <w:r w:rsidR="002457A3">
              <w:rPr>
                <w:rFonts w:ascii="宋体" w:hAnsi="宋体" w:cs="宋体" w:hint="eastAsia"/>
                <w:bCs/>
                <w:color w:val="000000"/>
                <w:szCs w:val="21"/>
              </w:rPr>
              <w:t>：</w:t>
            </w:r>
          </w:p>
          <w:p w14:paraId="19499D32" w14:textId="3C18D89A" w:rsidR="00F878AC" w:rsidRDefault="00F365D1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东莞电力（含聚润达集团）：0-5%</w:t>
            </w:r>
          </w:p>
        </w:tc>
      </w:tr>
    </w:tbl>
    <w:p w14:paraId="4B5ECA3F" w14:textId="77777777" w:rsidR="00F878AC" w:rsidRDefault="00F878AC"/>
    <w:sectPr w:rsidR="00F87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Y4NTY3Zjg3MDRkZTUxYmY0ODYwMzExMGJjZmYwNjYifQ=="/>
  </w:docVars>
  <w:rsids>
    <w:rsidRoot w:val="7174130E"/>
    <w:rsid w:val="002457A3"/>
    <w:rsid w:val="00375D32"/>
    <w:rsid w:val="003D2761"/>
    <w:rsid w:val="006E20A8"/>
    <w:rsid w:val="00830C24"/>
    <w:rsid w:val="00907FBE"/>
    <w:rsid w:val="00D51B94"/>
    <w:rsid w:val="00DF769F"/>
    <w:rsid w:val="00F365D1"/>
    <w:rsid w:val="00F878AC"/>
    <w:rsid w:val="00FC6EC5"/>
    <w:rsid w:val="7174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7875E"/>
  <w15:docId w15:val="{206C5D30-C64C-47FC-8A8E-C297E642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"/>
    <w:uiPriority w:val="99"/>
    <w:qFormat/>
  </w:style>
  <w:style w:type="paragraph" w:styleId="a4">
    <w:name w:val="Body Text"/>
    <w:basedOn w:val="a"/>
    <w:uiPriority w:val="99"/>
    <w:unhideWhenUsed/>
    <w:qFormat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802</Characters>
  <Application>Microsoft Office Word</Application>
  <DocSecurity>0</DocSecurity>
  <Lines>6</Lines>
  <Paragraphs>1</Paragraphs>
  <ScaleCrop>false</ScaleCrop>
  <Company>其他省直机关单位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胡翌婧</dc:creator>
  <cp:lastModifiedBy>PLY GA_</cp:lastModifiedBy>
  <cp:revision>11</cp:revision>
  <dcterms:created xsi:type="dcterms:W3CDTF">2023-10-12T08:48:00Z</dcterms:created>
  <dcterms:modified xsi:type="dcterms:W3CDTF">2023-10-20T14:40:00Z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198D79CE56AE45F4B4C3A6D6E4FDDE9B_11</vt:lpwstr>
  </property>
</Properties>
</file>