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sz w:val="36"/>
          <w:szCs w:val="36"/>
        </w:rPr>
      </w:pPr>
      <w:r>
        <w:rPr>
          <w:rFonts w:hint="eastAsia" w:ascii="黑体" w:hAnsi="黑体" w:eastAsia="黑体"/>
          <w:sz w:val="36"/>
          <w:szCs w:val="36"/>
        </w:rPr>
        <w:t>经营者集中简易案件公示表</w:t>
      </w:r>
    </w:p>
    <w:tbl>
      <w:tblPr>
        <w:tblStyle w:val="8"/>
        <w:tblW w:w="9102"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5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1940" w:type="dxa"/>
            <w:tcBorders>
              <w:top w:val="single" w:color="auto" w:sz="4" w:space="0"/>
              <w:left w:val="single" w:color="auto" w:sz="4" w:space="0"/>
              <w:bottom w:val="single" w:color="auto" w:sz="4" w:space="0"/>
              <w:right w:val="single" w:color="auto" w:sz="4" w:space="0"/>
            </w:tcBorders>
            <w:shd w:val="clear" w:color="auto" w:fill="D9D9D9"/>
            <w:vAlign w:val="center"/>
          </w:tcPr>
          <w:p>
            <w:pPr>
              <w:pStyle w:val="3"/>
              <w:widowControl w:val="0"/>
              <w:autoSpaceDE w:val="0"/>
              <w:adjustRightInd w:val="0"/>
              <w:snapToGrid w:val="0"/>
              <w:spacing w:before="0" w:beforeAutospacing="0" w:after="0"/>
              <w:rPr>
                <w:rFonts w:cs="Times New Roman"/>
                <w:bCs/>
                <w:color w:val="000000"/>
              </w:rPr>
            </w:pPr>
            <w:r>
              <w:rPr>
                <w:rFonts w:cs="Times New Roman"/>
                <w:bCs/>
                <w:color w:val="000000"/>
              </w:rPr>
              <w:t>案件名称</w:t>
            </w:r>
          </w:p>
        </w:tc>
        <w:tc>
          <w:tcPr>
            <w:tcW w:w="7162" w:type="dxa"/>
            <w:gridSpan w:val="2"/>
            <w:tcBorders>
              <w:top w:val="single" w:color="auto" w:sz="4" w:space="0"/>
              <w:left w:val="single" w:color="auto" w:sz="4" w:space="0"/>
              <w:bottom w:val="single" w:color="auto" w:sz="4" w:space="0"/>
              <w:right w:val="single" w:color="auto" w:sz="4" w:space="0"/>
            </w:tcBorders>
            <w:vAlign w:val="center"/>
          </w:tcPr>
          <w:p>
            <w:pPr>
              <w:widowControl w:val="0"/>
              <w:autoSpaceDE w:val="0"/>
              <w:adjustRightInd w:val="0"/>
              <w:snapToGrid w:val="0"/>
              <w:spacing w:before="0" w:beforeAutospacing="0" w:after="0"/>
              <w:rPr>
                <w:bCs/>
                <w:color w:val="000000"/>
              </w:rPr>
            </w:pPr>
            <w:r>
              <w:rPr>
                <w:rFonts w:hint="eastAsia"/>
                <w:bCs/>
                <w:color w:val="000000"/>
              </w:rPr>
              <w:t>巴西WEG集团（“</w:t>
            </w:r>
            <w:r>
              <w:rPr>
                <w:rFonts w:hint="eastAsia"/>
                <w:b/>
                <w:color w:val="000000"/>
              </w:rPr>
              <w:t>W</w:t>
            </w:r>
            <w:r>
              <w:rPr>
                <w:b/>
                <w:color w:val="000000"/>
              </w:rPr>
              <w:t>EG</w:t>
            </w:r>
            <w:r>
              <w:rPr>
                <w:rFonts w:hint="eastAsia"/>
                <w:bCs/>
                <w:color w:val="000000"/>
              </w:rPr>
              <w:t>”）收购雷科达电气集团（“</w:t>
            </w:r>
            <w:r>
              <w:rPr>
                <w:rFonts w:hint="eastAsia"/>
                <w:b/>
                <w:color w:val="000000"/>
              </w:rPr>
              <w:t>雷科达</w:t>
            </w:r>
            <w:r>
              <w:rPr>
                <w:rFonts w:hint="eastAsia"/>
                <w:bCs/>
                <w:color w:val="000000"/>
              </w:rPr>
              <w:t>”）部分业务案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9" w:hRule="atLeast"/>
        </w:trPr>
        <w:tc>
          <w:tcPr>
            <w:tcW w:w="1940" w:type="dxa"/>
            <w:tcBorders>
              <w:top w:val="single" w:color="auto" w:sz="4" w:space="0"/>
              <w:left w:val="single" w:color="auto" w:sz="4" w:space="0"/>
              <w:bottom w:val="single" w:color="auto" w:sz="4" w:space="0"/>
              <w:right w:val="single" w:color="auto" w:sz="4" w:space="0"/>
            </w:tcBorders>
            <w:shd w:val="clear" w:color="auto" w:fill="D9D9D9"/>
            <w:vAlign w:val="center"/>
          </w:tcPr>
          <w:p>
            <w:pPr>
              <w:pStyle w:val="3"/>
              <w:widowControl w:val="0"/>
              <w:autoSpaceDE w:val="0"/>
              <w:adjustRightInd w:val="0"/>
              <w:snapToGrid w:val="0"/>
              <w:spacing w:before="0" w:beforeAutospacing="0" w:after="0"/>
              <w:rPr>
                <w:rFonts w:cs="Times New Roman"/>
                <w:bCs/>
                <w:color w:val="000000"/>
              </w:rPr>
            </w:pPr>
            <w:r>
              <w:rPr>
                <w:rFonts w:cs="Times New Roman"/>
                <w:bCs/>
                <w:color w:val="000000"/>
              </w:rPr>
              <w:t>交易概况（限200字内）</w:t>
            </w:r>
          </w:p>
        </w:tc>
        <w:tc>
          <w:tcPr>
            <w:tcW w:w="7162" w:type="dxa"/>
            <w:gridSpan w:val="2"/>
            <w:tcBorders>
              <w:top w:val="single" w:color="auto" w:sz="4" w:space="0"/>
              <w:left w:val="single" w:color="auto" w:sz="4" w:space="0"/>
              <w:bottom w:val="single" w:color="auto" w:sz="4" w:space="0"/>
              <w:right w:val="single" w:color="auto" w:sz="4" w:space="0"/>
            </w:tcBorders>
            <w:vAlign w:val="center"/>
          </w:tcPr>
          <w:p>
            <w:pPr>
              <w:widowControl w:val="0"/>
              <w:autoSpaceDE w:val="0"/>
              <w:adjustRightInd w:val="0"/>
              <w:snapToGrid w:val="0"/>
              <w:spacing w:before="0" w:beforeAutospacing="0" w:after="0"/>
            </w:pPr>
            <w:r>
              <w:rPr>
                <w:rFonts w:hint="eastAsia"/>
              </w:rPr>
              <w:t>2</w:t>
            </w:r>
            <w:r>
              <w:t>023</w:t>
            </w:r>
            <w:r>
              <w:rPr>
                <w:rFonts w:hint="eastAsia"/>
              </w:rPr>
              <w:t>年9月2</w:t>
            </w:r>
            <w:r>
              <w:t>3</w:t>
            </w:r>
            <w:r>
              <w:rPr>
                <w:rFonts w:hint="eastAsia"/>
              </w:rPr>
              <w:t>日，W</w:t>
            </w:r>
            <w:r>
              <w:t>EG</w:t>
            </w:r>
            <w:r>
              <w:rPr>
                <w:rFonts w:hint="eastAsia"/>
              </w:rPr>
              <w:t>与雷科达签订了一份交易协议（“</w:t>
            </w:r>
            <w:r>
              <w:rPr>
                <w:rFonts w:hint="eastAsia"/>
                <w:b/>
                <w:bCs/>
              </w:rPr>
              <w:t>协议</w:t>
            </w:r>
            <w:r>
              <w:rPr>
                <w:rFonts w:hint="eastAsia"/>
              </w:rPr>
              <w:t>”）。根据该协议，W</w:t>
            </w:r>
            <w:r>
              <w:t>EG</w:t>
            </w:r>
            <w:r>
              <w:rPr>
                <w:rFonts w:hint="eastAsia"/>
              </w:rPr>
              <w:t>将购买雷科达旗下与其工业电机和发电机业务相关的部分子公司和资产的权益（合称“</w:t>
            </w:r>
            <w:r>
              <w:rPr>
                <w:rFonts w:hint="eastAsia"/>
                <w:b/>
                <w:bCs/>
              </w:rPr>
              <w:t>目标业务</w:t>
            </w:r>
            <w:r>
              <w:rPr>
                <w:rFonts w:hint="eastAsia"/>
              </w:rPr>
              <w:t>”）。目标业务</w:t>
            </w:r>
            <w:r>
              <w:rPr>
                <w:rFonts w:hint="eastAsia" w:ascii="宋体" w:hAnsi="宋体"/>
              </w:rPr>
              <w:t>主要包括</w:t>
            </w:r>
            <w:r>
              <w:rPr>
                <w:rFonts w:hint="eastAsia"/>
              </w:rPr>
              <w:t>工业电机和发电机业务。交易前，目标业务由雷科达单独控制。交易后，目标业务将由W</w:t>
            </w:r>
            <w:r>
              <w:t>EG</w:t>
            </w:r>
            <w:r>
              <w:rPr>
                <w:rFonts w:hint="eastAsia"/>
              </w:rPr>
              <w:t>单独控制。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3" w:hRule="atLeast"/>
        </w:trPr>
        <w:tc>
          <w:tcPr>
            <w:tcW w:w="1940" w:type="dxa"/>
            <w:vMerge w:val="restart"/>
            <w:tcBorders>
              <w:top w:val="nil"/>
              <w:left w:val="single" w:color="auto" w:sz="4" w:space="0"/>
              <w:right w:val="single" w:color="auto" w:sz="4" w:space="0"/>
            </w:tcBorders>
            <w:shd w:val="clear" w:color="auto" w:fill="D9D9D9"/>
            <w:vAlign w:val="center"/>
          </w:tcPr>
          <w:p>
            <w:pPr>
              <w:pStyle w:val="3"/>
              <w:widowControl w:val="0"/>
              <w:autoSpaceDE w:val="0"/>
              <w:adjustRightInd w:val="0"/>
              <w:snapToGrid w:val="0"/>
              <w:spacing w:before="0" w:beforeAutospacing="0" w:after="0"/>
              <w:rPr>
                <w:rFonts w:cs="Times New Roman"/>
                <w:bCs/>
                <w:color w:val="000000"/>
              </w:rPr>
            </w:pPr>
            <w:r>
              <w:rPr>
                <w:rFonts w:cs="Times New Roman"/>
                <w:bCs/>
                <w:color w:val="000000"/>
              </w:rPr>
              <w:t>参与集中的经营者简介（每个限100字以内）</w:t>
            </w:r>
          </w:p>
        </w:tc>
        <w:tc>
          <w:tcPr>
            <w:tcW w:w="1607" w:type="dxa"/>
            <w:tcBorders>
              <w:top w:val="single" w:color="auto" w:sz="4" w:space="0"/>
              <w:left w:val="single" w:color="auto" w:sz="4" w:space="0"/>
              <w:right w:val="single" w:color="auto" w:sz="4" w:space="0"/>
            </w:tcBorders>
            <w:vAlign w:val="center"/>
          </w:tcPr>
          <w:p>
            <w:pPr>
              <w:pStyle w:val="3"/>
              <w:widowControl w:val="0"/>
              <w:numPr>
                <w:ilvl w:val="0"/>
                <w:numId w:val="1"/>
              </w:numPr>
              <w:autoSpaceDE w:val="0"/>
              <w:adjustRightInd w:val="0"/>
              <w:snapToGrid w:val="0"/>
              <w:spacing w:before="0" w:beforeAutospacing="0" w:after="0"/>
              <w:rPr>
                <w:rFonts w:cs="Times New Roman"/>
                <w:bCs/>
                <w:color w:val="000000"/>
              </w:rPr>
            </w:pPr>
            <w:r>
              <w:rPr>
                <w:rFonts w:cs="Times New Roman"/>
                <w:bCs/>
                <w:color w:val="000000"/>
              </w:rPr>
              <w:t>WEG</w:t>
            </w:r>
          </w:p>
        </w:tc>
        <w:tc>
          <w:tcPr>
            <w:tcW w:w="5555" w:type="dxa"/>
            <w:tcBorders>
              <w:top w:val="single" w:color="auto" w:sz="4" w:space="0"/>
              <w:left w:val="single" w:color="auto" w:sz="4" w:space="0"/>
              <w:right w:val="single" w:color="auto" w:sz="4" w:space="0"/>
            </w:tcBorders>
            <w:vAlign w:val="center"/>
          </w:tcPr>
          <w:p>
            <w:pPr>
              <w:widowControl w:val="0"/>
              <w:autoSpaceDE w:val="0"/>
              <w:adjustRightInd w:val="0"/>
              <w:snapToGrid w:val="0"/>
              <w:spacing w:before="0" w:beforeAutospacing="0" w:after="0"/>
            </w:pPr>
            <w:r>
              <w:rPr>
                <w:rFonts w:hint="eastAsia"/>
              </w:rPr>
              <w:t>W</w:t>
            </w:r>
            <w:r>
              <w:t>EG</w:t>
            </w:r>
            <w:r>
              <w:rPr>
                <w:rFonts w:hint="eastAsia"/>
              </w:rPr>
              <w:t>于1</w:t>
            </w:r>
            <w:r>
              <w:t>961</w:t>
            </w:r>
            <w:r>
              <w:rPr>
                <w:rFonts w:hint="eastAsia"/>
              </w:rPr>
              <w:t>年6月3</w:t>
            </w:r>
            <w:r>
              <w:t>0</w:t>
            </w:r>
            <w:r>
              <w:rPr>
                <w:rFonts w:hint="eastAsia"/>
              </w:rPr>
              <w:t>日在巴西成立，从事商用和工业用电机、齿轮箱、自动化技术、控制和保护系统、发电设备以及工业涂料和清漆制造业务。</w:t>
            </w:r>
          </w:p>
          <w:p>
            <w:pPr>
              <w:widowControl w:val="0"/>
              <w:autoSpaceDE w:val="0"/>
              <w:adjustRightInd w:val="0"/>
              <w:snapToGrid w:val="0"/>
              <w:spacing w:before="0" w:beforeAutospacing="0" w:after="0"/>
            </w:pPr>
          </w:p>
          <w:p>
            <w:pPr>
              <w:widowControl w:val="0"/>
              <w:autoSpaceDE w:val="0"/>
              <w:adjustRightInd w:val="0"/>
              <w:snapToGrid w:val="0"/>
              <w:spacing w:before="0" w:beforeAutospacing="0" w:after="0"/>
              <w:rPr>
                <w:rFonts w:cs="Simplified Arabic"/>
                <w:color w:val="000000" w:themeColor="text1"/>
                <w14:textFill>
                  <w14:solidFill>
                    <w14:schemeClr w14:val="tx1"/>
                  </w14:solidFill>
                </w14:textFill>
              </w:rPr>
            </w:pPr>
            <w:r>
              <w:rPr>
                <w:rFonts w:hint="eastAsia"/>
              </w:rPr>
              <w:t>W</w:t>
            </w:r>
            <w:r>
              <w:t>EG</w:t>
            </w:r>
            <w:r>
              <w:rPr>
                <w:rFonts w:hint="eastAsia"/>
              </w:rPr>
              <w:t>无最</w:t>
            </w:r>
            <w:bookmarkStart w:id="0" w:name="_GoBack"/>
            <w:bookmarkEnd w:id="0"/>
            <w:r>
              <w:rPr>
                <w:rFonts w:hint="eastAsia"/>
              </w:rPr>
              <w:t>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9" w:hRule="atLeast"/>
        </w:trPr>
        <w:tc>
          <w:tcPr>
            <w:tcW w:w="1940" w:type="dxa"/>
            <w:vMerge w:val="continue"/>
            <w:tcBorders>
              <w:left w:val="single" w:color="auto" w:sz="4" w:space="0"/>
              <w:right w:val="single" w:color="auto" w:sz="4" w:space="0"/>
            </w:tcBorders>
            <w:vAlign w:val="center"/>
          </w:tcPr>
          <w:p>
            <w:pPr>
              <w:spacing w:before="0" w:beforeAutospacing="0" w:after="0"/>
              <w:jc w:val="left"/>
              <w:rPr>
                <w:bCs/>
                <w:color w:val="000000"/>
              </w:rPr>
            </w:pPr>
          </w:p>
        </w:tc>
        <w:tc>
          <w:tcPr>
            <w:tcW w:w="1607" w:type="dxa"/>
            <w:tcBorders>
              <w:top w:val="single" w:color="auto" w:sz="4" w:space="0"/>
              <w:left w:val="single" w:color="auto" w:sz="4" w:space="0"/>
              <w:bottom w:val="single" w:color="auto" w:sz="4" w:space="0"/>
              <w:right w:val="single" w:color="auto" w:sz="4" w:space="0"/>
            </w:tcBorders>
            <w:vAlign w:val="center"/>
          </w:tcPr>
          <w:p>
            <w:pPr>
              <w:pStyle w:val="3"/>
              <w:widowControl w:val="0"/>
              <w:numPr>
                <w:ilvl w:val="0"/>
                <w:numId w:val="1"/>
              </w:numPr>
              <w:autoSpaceDE w:val="0"/>
              <w:adjustRightInd w:val="0"/>
              <w:snapToGrid w:val="0"/>
              <w:spacing w:before="0" w:beforeAutospacing="0" w:after="0"/>
              <w:rPr>
                <w:rFonts w:cs="Times New Roman"/>
                <w:bCs/>
                <w:color w:val="000000"/>
              </w:rPr>
            </w:pPr>
            <w:r>
              <w:rPr>
                <w:rFonts w:hint="eastAsia" w:cs="Times New Roman"/>
                <w:bCs/>
                <w:color w:val="000000"/>
              </w:rPr>
              <w:t>目标业务</w:t>
            </w:r>
          </w:p>
        </w:tc>
        <w:tc>
          <w:tcPr>
            <w:tcW w:w="5555" w:type="dxa"/>
            <w:tcBorders>
              <w:top w:val="single" w:color="auto" w:sz="4" w:space="0"/>
              <w:left w:val="single" w:color="auto" w:sz="4" w:space="0"/>
              <w:bottom w:val="single" w:color="auto" w:sz="4" w:space="0"/>
              <w:right w:val="single" w:color="auto" w:sz="4" w:space="0"/>
            </w:tcBorders>
            <w:vAlign w:val="center"/>
          </w:tcPr>
          <w:p>
            <w:pPr>
              <w:widowControl w:val="0"/>
              <w:autoSpaceDE w:val="0"/>
              <w:adjustRightInd w:val="0"/>
              <w:snapToGrid w:val="0"/>
              <w:spacing w:before="0" w:beforeAutospacing="0" w:after="0"/>
            </w:pPr>
            <w:r>
              <w:rPr>
                <w:rFonts w:hint="eastAsia"/>
              </w:rPr>
              <w:t>目标业务为雷科达的工业电机和发电机业务。目标业务专门设计和制造用于数据中心、食品饮料、船舶、仓储、发电、高压交流电和能源市场等工业应用的整体式电机和发电机。</w:t>
            </w:r>
          </w:p>
          <w:p>
            <w:pPr>
              <w:widowControl w:val="0"/>
              <w:autoSpaceDE w:val="0"/>
              <w:adjustRightInd w:val="0"/>
              <w:snapToGrid w:val="0"/>
              <w:spacing w:before="0" w:beforeAutospacing="0" w:after="0"/>
            </w:pPr>
          </w:p>
          <w:p>
            <w:pPr>
              <w:widowControl w:val="0"/>
              <w:autoSpaceDE w:val="0"/>
              <w:adjustRightInd w:val="0"/>
              <w:snapToGrid w:val="0"/>
              <w:spacing w:before="0" w:beforeAutospacing="0" w:after="0"/>
            </w:pPr>
            <w:r>
              <w:rPr>
                <w:rFonts w:hint="eastAsia"/>
              </w:rPr>
              <w:t>目标业务由雷科达最终控制。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tcBorders>
              <w:top w:val="nil"/>
              <w:left w:val="single" w:color="auto" w:sz="4" w:space="0"/>
              <w:bottom w:val="single" w:color="auto" w:sz="4" w:space="0"/>
              <w:right w:val="single" w:color="auto" w:sz="4" w:space="0"/>
            </w:tcBorders>
            <w:shd w:val="clear" w:color="auto" w:fill="D9D9D9"/>
            <w:vAlign w:val="center"/>
          </w:tcPr>
          <w:p>
            <w:pPr>
              <w:pStyle w:val="3"/>
              <w:widowControl w:val="0"/>
              <w:autoSpaceDE w:val="0"/>
              <w:adjustRightInd w:val="0"/>
              <w:snapToGrid w:val="0"/>
              <w:spacing w:before="0" w:beforeAutospacing="0" w:after="0"/>
              <w:rPr>
                <w:rFonts w:cs="Times New Roman"/>
                <w:bCs/>
                <w:color w:val="000000"/>
              </w:rPr>
            </w:pPr>
            <w:r>
              <w:rPr>
                <w:rFonts w:cs="Times New Roman"/>
                <w:bCs/>
                <w:color w:val="000000"/>
              </w:rPr>
              <w:t>简易案件理由（可以单选，也可以多选）</w:t>
            </w: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3"/>
              <w:widowControl w:val="0"/>
              <w:autoSpaceDE w:val="0"/>
              <w:adjustRightInd w:val="0"/>
              <w:snapToGrid w:val="0"/>
              <w:spacing w:before="0" w:beforeAutospacing="0" w:after="0"/>
              <w:rPr>
                <w:rFonts w:cs="Times New Roman"/>
                <w:bCs/>
                <w:color w:val="000000"/>
              </w:rPr>
            </w:pPr>
            <w:r>
              <w:rPr>
                <w:rFonts w:cs="Times New Roman"/>
                <w:lang w:val="en-GB"/>
              </w:rPr>
              <w:sym w:font="Wingdings" w:char="00FE"/>
            </w:r>
            <w:r>
              <w:rPr>
                <w:rFonts w:cs="Times New Roman"/>
                <w:lang w:val="en-GB"/>
              </w:rPr>
              <w:t xml:space="preserve"> </w:t>
            </w:r>
            <w:r>
              <w:rPr>
                <w:rFonts w:cs="Times New Roman"/>
                <w:bCs/>
                <w:color w:val="000000"/>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940" w:type="dxa"/>
            <w:vMerge w:val="continue"/>
            <w:tcBorders>
              <w:top w:val="nil"/>
              <w:left w:val="single" w:color="auto" w:sz="4" w:space="0"/>
              <w:bottom w:val="single" w:color="auto" w:sz="4" w:space="0"/>
              <w:right w:val="single" w:color="auto" w:sz="4" w:space="0"/>
            </w:tcBorders>
            <w:vAlign w:val="center"/>
          </w:tcPr>
          <w:p>
            <w:pPr>
              <w:spacing w:before="0" w:beforeAutospacing="0" w:after="0"/>
              <w:jc w:val="left"/>
              <w:rPr>
                <w:bCs/>
                <w:color w:val="000000"/>
              </w:rPr>
            </w:pP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3"/>
              <w:widowControl w:val="0"/>
              <w:autoSpaceDE w:val="0"/>
              <w:adjustRightInd w:val="0"/>
              <w:snapToGrid w:val="0"/>
              <w:spacing w:before="0" w:beforeAutospacing="0" w:after="0"/>
              <w:rPr>
                <w:rFonts w:cs="Times New Roman"/>
                <w:bCs/>
                <w:color w:val="000000"/>
              </w:rPr>
            </w:pPr>
            <w:r>
              <w:rPr>
                <w:rFonts w:cs="Times New Roman"/>
                <w:lang w:val="en-GB"/>
              </w:rPr>
              <w:sym w:font="Wingdings" w:char="F0A8"/>
            </w:r>
            <w:r>
              <w:rPr>
                <w:rFonts w:cs="Times New Roman"/>
                <w:lang w:val="en-GB"/>
              </w:rPr>
              <w:t xml:space="preserve"> </w:t>
            </w:r>
            <w:r>
              <w:rPr>
                <w:rFonts w:cs="Times New Roman"/>
                <w:bCs/>
                <w:color w:val="000000"/>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940" w:type="dxa"/>
            <w:vMerge w:val="continue"/>
            <w:tcBorders>
              <w:top w:val="nil"/>
              <w:left w:val="single" w:color="auto" w:sz="4" w:space="0"/>
              <w:bottom w:val="single" w:color="auto" w:sz="4" w:space="0"/>
              <w:right w:val="single" w:color="auto" w:sz="4" w:space="0"/>
            </w:tcBorders>
            <w:vAlign w:val="center"/>
          </w:tcPr>
          <w:p>
            <w:pPr>
              <w:spacing w:before="0" w:beforeAutospacing="0" w:after="0"/>
              <w:jc w:val="left"/>
              <w:rPr>
                <w:bCs/>
                <w:color w:val="000000"/>
              </w:rPr>
            </w:pP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3"/>
              <w:widowControl w:val="0"/>
              <w:autoSpaceDE w:val="0"/>
              <w:adjustRightInd w:val="0"/>
              <w:snapToGrid w:val="0"/>
              <w:spacing w:before="0" w:beforeAutospacing="0" w:after="0"/>
              <w:rPr>
                <w:rFonts w:cs="Times New Roman"/>
                <w:bCs/>
                <w:color w:val="000000"/>
              </w:rPr>
            </w:pPr>
            <w:r>
              <w:rPr>
                <w:rFonts w:cs="Times New Roman"/>
                <w:lang w:val="en-GB"/>
              </w:rPr>
              <w:sym w:font="Wingdings" w:char="F0A8"/>
            </w:r>
            <w:r>
              <w:rPr>
                <w:rFonts w:cs="Times New Roman"/>
                <w:lang w:val="en-GB"/>
              </w:rPr>
              <w:t xml:space="preserve"> </w:t>
            </w:r>
            <w:r>
              <w:rPr>
                <w:rFonts w:cs="Times New Roman"/>
                <w:bCs/>
                <w:color w:val="000000"/>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940" w:type="dxa"/>
            <w:vMerge w:val="continue"/>
            <w:tcBorders>
              <w:top w:val="nil"/>
              <w:left w:val="single" w:color="auto" w:sz="4" w:space="0"/>
              <w:bottom w:val="single" w:color="auto" w:sz="4" w:space="0"/>
              <w:right w:val="single" w:color="auto" w:sz="4" w:space="0"/>
            </w:tcBorders>
            <w:vAlign w:val="center"/>
          </w:tcPr>
          <w:p>
            <w:pPr>
              <w:spacing w:before="0" w:beforeAutospacing="0" w:after="0"/>
              <w:jc w:val="left"/>
              <w:rPr>
                <w:bCs/>
                <w:color w:val="000000"/>
              </w:rPr>
            </w:pP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3"/>
              <w:widowControl w:val="0"/>
              <w:autoSpaceDE w:val="0"/>
              <w:adjustRightInd w:val="0"/>
              <w:snapToGrid w:val="0"/>
              <w:spacing w:before="0" w:beforeAutospacing="0" w:after="0"/>
              <w:rPr>
                <w:rFonts w:cs="Times New Roman"/>
                <w:bCs/>
                <w:color w:val="000000"/>
              </w:rPr>
            </w:pPr>
            <w:r>
              <w:rPr>
                <w:rFonts w:cs="Times New Roman"/>
                <w:lang w:val="en-GB"/>
              </w:rPr>
              <w:sym w:font="Wingdings" w:char="F0A8"/>
            </w:r>
            <w:r>
              <w:rPr>
                <w:rFonts w:cs="Times New Roman"/>
                <w:bCs/>
                <w:color w:val="000000"/>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940" w:type="dxa"/>
            <w:vMerge w:val="continue"/>
            <w:tcBorders>
              <w:top w:val="nil"/>
              <w:left w:val="single" w:color="auto" w:sz="4" w:space="0"/>
              <w:bottom w:val="single" w:color="auto" w:sz="4" w:space="0"/>
              <w:right w:val="single" w:color="auto" w:sz="4" w:space="0"/>
            </w:tcBorders>
            <w:vAlign w:val="center"/>
          </w:tcPr>
          <w:p>
            <w:pPr>
              <w:spacing w:before="0" w:beforeAutospacing="0" w:after="0"/>
              <w:jc w:val="left"/>
              <w:rPr>
                <w:bCs/>
                <w:color w:val="000000"/>
              </w:rPr>
            </w:pP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3"/>
              <w:widowControl w:val="0"/>
              <w:autoSpaceDE w:val="0"/>
              <w:adjustRightInd w:val="0"/>
              <w:snapToGrid w:val="0"/>
              <w:spacing w:before="0" w:beforeAutospacing="0" w:after="0"/>
              <w:rPr>
                <w:rFonts w:cs="Times New Roman"/>
                <w:bCs/>
                <w:color w:val="000000"/>
              </w:rPr>
            </w:pPr>
            <w:r>
              <w:rPr>
                <w:rFonts w:cs="Times New Roman"/>
                <w:lang w:val="en-GB"/>
              </w:rPr>
              <w:sym w:font="Wingdings" w:char="F0A8"/>
            </w:r>
            <w:r>
              <w:rPr>
                <w:rFonts w:cs="Times New Roman"/>
                <w:bCs/>
                <w:color w:val="000000"/>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940" w:type="dxa"/>
            <w:vMerge w:val="continue"/>
            <w:tcBorders>
              <w:top w:val="nil"/>
              <w:left w:val="single" w:color="auto" w:sz="4" w:space="0"/>
              <w:bottom w:val="single" w:color="auto" w:sz="4" w:space="0"/>
              <w:right w:val="single" w:color="auto" w:sz="4" w:space="0"/>
            </w:tcBorders>
            <w:vAlign w:val="center"/>
          </w:tcPr>
          <w:p>
            <w:pPr>
              <w:spacing w:before="0" w:beforeAutospacing="0" w:after="0"/>
              <w:jc w:val="left"/>
              <w:rPr>
                <w:bCs/>
                <w:color w:val="000000"/>
              </w:rPr>
            </w:pP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3"/>
              <w:widowControl w:val="0"/>
              <w:autoSpaceDE w:val="0"/>
              <w:adjustRightInd w:val="0"/>
              <w:snapToGrid w:val="0"/>
              <w:spacing w:before="0" w:beforeAutospacing="0" w:after="0"/>
              <w:rPr>
                <w:rFonts w:cs="Times New Roman"/>
                <w:bCs/>
                <w:color w:val="000000"/>
              </w:rPr>
            </w:pPr>
            <w:r>
              <w:rPr>
                <w:rFonts w:cs="Times New Roman"/>
                <w:lang w:val="en-GB"/>
              </w:rPr>
              <w:sym w:font="Wingdings" w:char="F0A8"/>
            </w:r>
            <w:r>
              <w:rPr>
                <w:rFonts w:cs="Times New Roman"/>
                <w:bCs/>
                <w:color w:val="000000"/>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940" w:type="dxa"/>
            <w:tcBorders>
              <w:top w:val="single" w:color="auto" w:sz="4" w:space="0"/>
              <w:left w:val="single" w:color="auto" w:sz="4" w:space="0"/>
              <w:bottom w:val="single" w:color="auto" w:sz="4" w:space="0"/>
              <w:right w:val="single" w:color="auto" w:sz="4" w:space="0"/>
            </w:tcBorders>
            <w:shd w:val="clear" w:color="auto" w:fill="D9D9D9"/>
            <w:vAlign w:val="center"/>
          </w:tcPr>
          <w:p>
            <w:pPr>
              <w:pStyle w:val="3"/>
              <w:widowControl w:val="0"/>
              <w:autoSpaceDE w:val="0"/>
              <w:adjustRightInd w:val="0"/>
              <w:snapToGrid w:val="0"/>
              <w:spacing w:before="0" w:beforeAutospacing="0" w:after="0"/>
              <w:rPr>
                <w:rFonts w:cs="Times New Roman"/>
                <w:bCs/>
                <w:color w:val="000000"/>
              </w:rPr>
            </w:pPr>
            <w:r>
              <w:rPr>
                <w:rFonts w:cs="Times New Roman"/>
                <w:bCs/>
                <w:color w:val="000000"/>
              </w:rPr>
              <w:t>备注</w:t>
            </w: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3"/>
              <w:widowControl w:val="0"/>
              <w:autoSpaceDE w:val="0"/>
              <w:adjustRightInd w:val="0"/>
              <w:snapToGrid w:val="0"/>
              <w:spacing w:before="0" w:beforeAutospacing="0" w:after="0"/>
              <w:rPr>
                <w:rFonts w:cs="Times New Roman"/>
                <w:b/>
                <w:color w:val="000000"/>
              </w:rPr>
            </w:pPr>
            <w:r>
              <w:rPr>
                <w:rFonts w:hint="eastAsia" w:cs="Times New Roman"/>
                <w:b/>
                <w:color w:val="000000"/>
              </w:rPr>
              <w:t>横向重叠：</w:t>
            </w:r>
          </w:p>
          <w:p>
            <w:pPr>
              <w:pStyle w:val="3"/>
              <w:widowControl w:val="0"/>
              <w:autoSpaceDE w:val="0"/>
              <w:adjustRightInd w:val="0"/>
              <w:snapToGrid w:val="0"/>
              <w:spacing w:before="0" w:beforeAutospacing="0" w:after="0"/>
              <w:rPr>
                <w:rFonts w:cs="Times New Roman"/>
                <w:bCs/>
                <w:color w:val="000000"/>
              </w:rPr>
            </w:pPr>
            <w:r>
              <w:rPr>
                <w:rFonts w:hint="eastAsia" w:cs="Times New Roman"/>
                <w:bCs/>
                <w:color w:val="000000"/>
              </w:rPr>
              <w:t>2</w:t>
            </w:r>
            <w:r>
              <w:rPr>
                <w:rFonts w:cs="Times New Roman"/>
                <w:bCs/>
                <w:color w:val="000000"/>
              </w:rPr>
              <w:t>022</w:t>
            </w:r>
            <w:r>
              <w:rPr>
                <w:rFonts w:hint="eastAsia" w:cs="Times New Roman"/>
                <w:bCs/>
                <w:color w:val="000000"/>
              </w:rPr>
              <w:t>年中国境内低压电机市场：</w:t>
            </w:r>
          </w:p>
          <w:p>
            <w:pPr>
              <w:pStyle w:val="3"/>
              <w:widowControl w:val="0"/>
              <w:autoSpaceDE w:val="0"/>
              <w:adjustRightInd w:val="0"/>
              <w:snapToGrid w:val="0"/>
              <w:spacing w:before="0" w:beforeAutospacing="0" w:after="0"/>
              <w:rPr>
                <w:rFonts w:cs="Times New Roman"/>
                <w:bCs/>
                <w:color w:val="000000"/>
              </w:rPr>
            </w:pPr>
            <w:r>
              <w:rPr>
                <w:rFonts w:hint="eastAsia" w:cs="Times New Roman"/>
                <w:bCs/>
                <w:color w:val="000000"/>
              </w:rPr>
              <w:t>W</w:t>
            </w:r>
            <w:r>
              <w:rPr>
                <w:rFonts w:cs="Times New Roman"/>
                <w:bCs/>
                <w:color w:val="000000"/>
              </w:rPr>
              <w:t>EG</w:t>
            </w:r>
            <w:r>
              <w:rPr>
                <w:rFonts w:hint="eastAsia" w:cs="Times New Roman"/>
                <w:bCs/>
                <w:color w:val="000000"/>
              </w:rPr>
              <w:t>：</w:t>
            </w:r>
            <w:r>
              <w:rPr>
                <w:rFonts w:cs="Times New Roman"/>
                <w:bCs/>
                <w:color w:val="000000"/>
              </w:rPr>
              <w:t>[0-5]%</w:t>
            </w:r>
            <w:r>
              <w:rPr>
                <w:rFonts w:hint="eastAsia" w:cs="Times New Roman"/>
                <w:bCs/>
                <w:color w:val="000000"/>
              </w:rPr>
              <w:t>，目标业务：</w:t>
            </w:r>
            <w:r>
              <w:rPr>
                <w:rFonts w:cs="Times New Roman"/>
                <w:bCs/>
                <w:color w:val="000000"/>
              </w:rPr>
              <w:t>[0-5]%</w:t>
            </w:r>
            <w:r>
              <w:rPr>
                <w:rFonts w:hint="eastAsia" w:cs="Times New Roman"/>
                <w:bCs/>
                <w:color w:val="000000"/>
              </w:rPr>
              <w:t>，合计：</w:t>
            </w:r>
            <w:r>
              <w:rPr>
                <w:rFonts w:cs="Times New Roman"/>
                <w:bCs/>
                <w:color w:val="000000"/>
              </w:rPr>
              <w:t>[0-5]%</w:t>
            </w:r>
          </w:p>
          <w:p>
            <w:pPr>
              <w:pStyle w:val="3"/>
              <w:widowControl w:val="0"/>
              <w:autoSpaceDE w:val="0"/>
              <w:adjustRightInd w:val="0"/>
              <w:snapToGrid w:val="0"/>
              <w:spacing w:before="0" w:beforeAutospacing="0" w:after="0"/>
              <w:rPr>
                <w:rFonts w:cs="Times New Roman"/>
                <w:bCs/>
                <w:color w:val="000000"/>
              </w:rPr>
            </w:pPr>
          </w:p>
          <w:p>
            <w:pPr>
              <w:pStyle w:val="3"/>
              <w:widowControl w:val="0"/>
              <w:autoSpaceDE w:val="0"/>
              <w:adjustRightInd w:val="0"/>
              <w:snapToGrid w:val="0"/>
              <w:spacing w:before="0" w:beforeAutospacing="0" w:after="0"/>
              <w:rPr>
                <w:rFonts w:cs="Times New Roman"/>
                <w:bCs/>
                <w:color w:val="000000"/>
              </w:rPr>
            </w:pPr>
            <w:r>
              <w:rPr>
                <w:rFonts w:hint="eastAsia" w:cs="Times New Roman"/>
                <w:bCs/>
                <w:color w:val="000000"/>
              </w:rPr>
              <w:t>2</w:t>
            </w:r>
            <w:r>
              <w:rPr>
                <w:rFonts w:cs="Times New Roman"/>
                <w:bCs/>
                <w:color w:val="000000"/>
              </w:rPr>
              <w:t>022</w:t>
            </w:r>
            <w:r>
              <w:rPr>
                <w:rFonts w:hint="eastAsia" w:cs="Times New Roman"/>
                <w:bCs/>
                <w:color w:val="000000"/>
              </w:rPr>
              <w:t>年中国境内中压电机市场：</w:t>
            </w:r>
          </w:p>
          <w:p>
            <w:pPr>
              <w:pStyle w:val="3"/>
              <w:widowControl w:val="0"/>
              <w:autoSpaceDE w:val="0"/>
              <w:adjustRightInd w:val="0"/>
              <w:snapToGrid w:val="0"/>
              <w:spacing w:before="0" w:beforeAutospacing="0" w:after="0"/>
              <w:rPr>
                <w:rFonts w:cs="Times New Roman"/>
                <w:bCs/>
                <w:color w:val="000000"/>
              </w:rPr>
            </w:pPr>
            <w:r>
              <w:rPr>
                <w:rFonts w:hint="eastAsia" w:cs="Times New Roman"/>
                <w:bCs/>
                <w:color w:val="000000"/>
              </w:rPr>
              <w:t>W</w:t>
            </w:r>
            <w:r>
              <w:rPr>
                <w:rFonts w:cs="Times New Roman"/>
                <w:bCs/>
                <w:color w:val="000000"/>
              </w:rPr>
              <w:t>EG</w:t>
            </w:r>
            <w:r>
              <w:rPr>
                <w:rFonts w:hint="eastAsia" w:cs="Times New Roman"/>
                <w:bCs/>
                <w:color w:val="000000"/>
              </w:rPr>
              <w:t>：</w:t>
            </w:r>
            <w:r>
              <w:rPr>
                <w:rFonts w:cs="Times New Roman"/>
                <w:bCs/>
                <w:color w:val="000000"/>
              </w:rPr>
              <w:t>[0-5]%</w:t>
            </w:r>
            <w:r>
              <w:rPr>
                <w:rFonts w:hint="eastAsia" w:cs="Times New Roman"/>
                <w:bCs/>
                <w:color w:val="000000"/>
              </w:rPr>
              <w:t>，目标业务：</w:t>
            </w:r>
            <w:r>
              <w:rPr>
                <w:rFonts w:cs="Times New Roman"/>
                <w:bCs/>
                <w:color w:val="000000"/>
              </w:rPr>
              <w:t>[0-5]%</w:t>
            </w:r>
            <w:r>
              <w:rPr>
                <w:rFonts w:hint="eastAsia" w:cs="Times New Roman"/>
                <w:bCs/>
                <w:color w:val="000000"/>
              </w:rPr>
              <w:t>，合计：</w:t>
            </w:r>
            <w:r>
              <w:rPr>
                <w:rFonts w:cs="Times New Roman"/>
                <w:bCs/>
                <w:color w:val="000000"/>
              </w:rPr>
              <w:t>[0-5]%</w:t>
            </w:r>
          </w:p>
          <w:p>
            <w:pPr>
              <w:pStyle w:val="3"/>
              <w:widowControl w:val="0"/>
              <w:autoSpaceDE w:val="0"/>
              <w:adjustRightInd w:val="0"/>
              <w:snapToGrid w:val="0"/>
              <w:spacing w:before="0" w:beforeAutospacing="0" w:after="0"/>
              <w:rPr>
                <w:rFonts w:cs="Times New Roman"/>
                <w:bCs/>
                <w:color w:val="000000"/>
              </w:rPr>
            </w:pPr>
          </w:p>
          <w:p>
            <w:pPr>
              <w:pStyle w:val="3"/>
              <w:widowControl w:val="0"/>
              <w:autoSpaceDE w:val="0"/>
              <w:adjustRightInd w:val="0"/>
              <w:snapToGrid w:val="0"/>
              <w:spacing w:before="0" w:beforeAutospacing="0" w:after="0"/>
              <w:rPr>
                <w:rFonts w:cs="Times New Roman"/>
                <w:bCs/>
                <w:color w:val="000000"/>
              </w:rPr>
            </w:pPr>
            <w:r>
              <w:rPr>
                <w:rFonts w:hint="eastAsia" w:cs="Times New Roman"/>
                <w:bCs/>
                <w:color w:val="000000"/>
              </w:rPr>
              <w:t>2</w:t>
            </w:r>
            <w:r>
              <w:rPr>
                <w:rFonts w:cs="Times New Roman"/>
                <w:bCs/>
                <w:color w:val="000000"/>
              </w:rPr>
              <w:t>022</w:t>
            </w:r>
            <w:r>
              <w:rPr>
                <w:rFonts w:hint="eastAsia" w:cs="Times New Roman"/>
                <w:bCs/>
                <w:color w:val="000000"/>
              </w:rPr>
              <w:t>年中国境内火力发电机市场：</w:t>
            </w:r>
          </w:p>
          <w:p>
            <w:pPr>
              <w:pStyle w:val="3"/>
              <w:widowControl w:val="0"/>
              <w:autoSpaceDE w:val="0"/>
              <w:adjustRightInd w:val="0"/>
              <w:snapToGrid w:val="0"/>
              <w:spacing w:before="0" w:beforeAutospacing="0" w:after="0"/>
              <w:rPr>
                <w:rFonts w:cs="Times New Roman"/>
                <w:bCs/>
                <w:color w:val="000000"/>
              </w:rPr>
            </w:pPr>
            <w:r>
              <w:rPr>
                <w:rFonts w:hint="eastAsia" w:cs="Times New Roman"/>
                <w:bCs/>
                <w:color w:val="000000"/>
              </w:rPr>
              <w:t>W</w:t>
            </w:r>
            <w:r>
              <w:rPr>
                <w:rFonts w:cs="Times New Roman"/>
                <w:bCs/>
                <w:color w:val="000000"/>
              </w:rPr>
              <w:t>EG</w:t>
            </w:r>
            <w:r>
              <w:rPr>
                <w:rFonts w:hint="eastAsia" w:cs="Times New Roman"/>
                <w:bCs/>
                <w:color w:val="000000"/>
              </w:rPr>
              <w:t>：</w:t>
            </w:r>
            <w:r>
              <w:rPr>
                <w:rFonts w:cs="Times New Roman"/>
                <w:bCs/>
                <w:color w:val="000000"/>
              </w:rPr>
              <w:t>[0-5]%</w:t>
            </w:r>
            <w:r>
              <w:rPr>
                <w:rFonts w:hint="eastAsia" w:cs="Times New Roman"/>
                <w:bCs/>
                <w:color w:val="000000"/>
              </w:rPr>
              <w:t>，目标业务：</w:t>
            </w:r>
            <w:r>
              <w:rPr>
                <w:rFonts w:cs="Times New Roman"/>
                <w:bCs/>
                <w:color w:val="000000"/>
              </w:rPr>
              <w:t>[0-5]%</w:t>
            </w:r>
            <w:r>
              <w:rPr>
                <w:rFonts w:hint="eastAsia" w:cs="Times New Roman"/>
                <w:bCs/>
                <w:color w:val="000000"/>
              </w:rPr>
              <w:t>，合计：</w:t>
            </w:r>
            <w:r>
              <w:rPr>
                <w:rFonts w:cs="Times New Roman"/>
                <w:bCs/>
                <w:color w:val="000000"/>
              </w:rPr>
              <w:t>[0-5]%</w:t>
            </w:r>
          </w:p>
        </w:tc>
      </w:tr>
    </w:tbl>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Arial">
    <w:altName w:val="Times New Roman"/>
    <w:panose1 w:val="020B0604020202020204"/>
    <w:charset w:val="00"/>
    <w:family w:val="swiss"/>
    <w:pitch w:val="default"/>
    <w:sig w:usb0="00000000" w:usb1="00000000" w:usb2="00000009" w:usb3="00000000" w:csb0="000001FF" w:csb1="00000000"/>
  </w:font>
  <w:font w:name="等线">
    <w:altName w:val="汉仪中宋简"/>
    <w:panose1 w:val="02010600030101010101"/>
    <w:charset w:val="86"/>
    <w:family w:val="auto"/>
    <w:pitch w:val="default"/>
    <w:sig w:usb0="00000000" w:usb1="00000000" w:usb2="00000016" w:usb3="00000000" w:csb0="0004000F"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PMingLiU">
    <w:altName w:val="Droid Sans Fallback"/>
    <w:panose1 w:val="02010601000101010101"/>
    <w:charset w:val="88"/>
    <w:family w:val="roman"/>
    <w:pitch w:val="default"/>
    <w:sig w:usb0="00000000" w:usb1="00000000" w:usb2="00000016" w:usb3="00000000" w:csb0="00100001" w:csb1="00000000"/>
  </w:font>
  <w:font w:name="Simplified Arabic">
    <w:altName w:val="Times New Roman"/>
    <w:panose1 w:val="00000000000000000000"/>
    <w:charset w:val="B2"/>
    <w:family w:val="roman"/>
    <w:pitch w:val="default"/>
    <w:sig w:usb0="00000000" w:usb1="00000000" w:usb2="00000008" w:usb3="00000000" w:csb0="00000041" w:csb1="00000000"/>
  </w:font>
  <w:font w:name="仿宋">
    <w:panose1 w:val="02010609060101010101"/>
    <w:charset w:val="86"/>
    <w:family w:val="auto"/>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roid Sans Fallback">
    <w:panose1 w:val="020B0502000000000001"/>
    <w:charset w:val="86"/>
    <w:family w:val="auto"/>
    <w:pitch w:val="default"/>
    <w:sig w:usb0="910002FF" w:usb1="2BDFFCFB" w:usb2="00000036" w:usb3="00000000" w:csb0="203F01FF" w:csb1="D7FF0000"/>
  </w:font>
  <w:font w:name="DejaVu Sans">
    <w:panose1 w:val="020B0603030804020204"/>
    <w:charset w:val="00"/>
    <w:family w:val="auto"/>
    <w:pitch w:val="default"/>
    <w:sig w:usb0="E7006EFF" w:usb1="D200FDFF" w:usb2="0A246029" w:usb3="0400200C" w:csb0="600001FF" w:csb1="DFFF0000"/>
  </w:font>
  <w:font w:name="汉仪中宋简">
    <w:panose1 w:val="02010600000101010101"/>
    <w:charset w:val="86"/>
    <w:family w:val="auto"/>
    <w:pitch w:val="default"/>
    <w:sig w:usb0="00000001" w:usb1="080E0800" w:usb2="00000002"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i/>
        <w:iCs/>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F7495E"/>
    <w:multiLevelType w:val="multilevel"/>
    <w:tmpl w:val="16F7495E"/>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true"/>
  <w:bordersDoNotSurroundHeader w:val="true"/>
  <w:bordersDoNotSurroundFooter w:val="true"/>
  <w:hideSpellingErrors/>
  <w:hideGrammatical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093"/>
    <w:rsid w:val="00005E47"/>
    <w:rsid w:val="00007211"/>
    <w:rsid w:val="00007DCB"/>
    <w:rsid w:val="00013540"/>
    <w:rsid w:val="00022888"/>
    <w:rsid w:val="00040BE4"/>
    <w:rsid w:val="000432F5"/>
    <w:rsid w:val="00062633"/>
    <w:rsid w:val="00070DFA"/>
    <w:rsid w:val="00073298"/>
    <w:rsid w:val="000779D4"/>
    <w:rsid w:val="00086808"/>
    <w:rsid w:val="000952C2"/>
    <w:rsid w:val="000B2521"/>
    <w:rsid w:val="000C758D"/>
    <w:rsid w:val="000F622D"/>
    <w:rsid w:val="00140AC1"/>
    <w:rsid w:val="00156A84"/>
    <w:rsid w:val="00172130"/>
    <w:rsid w:val="00174F1D"/>
    <w:rsid w:val="00185356"/>
    <w:rsid w:val="001A3798"/>
    <w:rsid w:val="001C2F2F"/>
    <w:rsid w:val="001F1174"/>
    <w:rsid w:val="0020203F"/>
    <w:rsid w:val="00224815"/>
    <w:rsid w:val="0022483C"/>
    <w:rsid w:val="0022508D"/>
    <w:rsid w:val="00240F4D"/>
    <w:rsid w:val="00243F0A"/>
    <w:rsid w:val="002552F3"/>
    <w:rsid w:val="0026588D"/>
    <w:rsid w:val="00266140"/>
    <w:rsid w:val="0027426D"/>
    <w:rsid w:val="002765E0"/>
    <w:rsid w:val="0027683C"/>
    <w:rsid w:val="00297F92"/>
    <w:rsid w:val="002A1647"/>
    <w:rsid w:val="002B2834"/>
    <w:rsid w:val="002B7D10"/>
    <w:rsid w:val="002D2F0B"/>
    <w:rsid w:val="002F2EB7"/>
    <w:rsid w:val="00310937"/>
    <w:rsid w:val="00323DA9"/>
    <w:rsid w:val="0033132B"/>
    <w:rsid w:val="0035074A"/>
    <w:rsid w:val="00350E5D"/>
    <w:rsid w:val="0035482E"/>
    <w:rsid w:val="003576BE"/>
    <w:rsid w:val="00382857"/>
    <w:rsid w:val="003838DE"/>
    <w:rsid w:val="003A465E"/>
    <w:rsid w:val="003A6D83"/>
    <w:rsid w:val="003A7038"/>
    <w:rsid w:val="003A7638"/>
    <w:rsid w:val="003C089C"/>
    <w:rsid w:val="003C3F26"/>
    <w:rsid w:val="003C54A5"/>
    <w:rsid w:val="003D1ECC"/>
    <w:rsid w:val="003E325E"/>
    <w:rsid w:val="003F39DE"/>
    <w:rsid w:val="00400304"/>
    <w:rsid w:val="00400DE3"/>
    <w:rsid w:val="00406469"/>
    <w:rsid w:val="004138AE"/>
    <w:rsid w:val="0043165B"/>
    <w:rsid w:val="00440639"/>
    <w:rsid w:val="00463095"/>
    <w:rsid w:val="00476557"/>
    <w:rsid w:val="004778F0"/>
    <w:rsid w:val="004914EC"/>
    <w:rsid w:val="004A1DAF"/>
    <w:rsid w:val="004B2473"/>
    <w:rsid w:val="004B50D9"/>
    <w:rsid w:val="004C3414"/>
    <w:rsid w:val="004C620D"/>
    <w:rsid w:val="004D105D"/>
    <w:rsid w:val="004E0DA3"/>
    <w:rsid w:val="004E44A6"/>
    <w:rsid w:val="004E5880"/>
    <w:rsid w:val="004F3639"/>
    <w:rsid w:val="005345A5"/>
    <w:rsid w:val="00561996"/>
    <w:rsid w:val="005634BF"/>
    <w:rsid w:val="00582AF5"/>
    <w:rsid w:val="005E1035"/>
    <w:rsid w:val="005E7CC0"/>
    <w:rsid w:val="005F2D2F"/>
    <w:rsid w:val="006021E5"/>
    <w:rsid w:val="00621929"/>
    <w:rsid w:val="0065206F"/>
    <w:rsid w:val="006523CF"/>
    <w:rsid w:val="00652FAB"/>
    <w:rsid w:val="006553DD"/>
    <w:rsid w:val="00676B35"/>
    <w:rsid w:val="00677FDF"/>
    <w:rsid w:val="00694E32"/>
    <w:rsid w:val="006A2D24"/>
    <w:rsid w:val="006B185C"/>
    <w:rsid w:val="006C75F4"/>
    <w:rsid w:val="006D0970"/>
    <w:rsid w:val="006D50B0"/>
    <w:rsid w:val="006E582C"/>
    <w:rsid w:val="006E618C"/>
    <w:rsid w:val="007119B5"/>
    <w:rsid w:val="00711AA4"/>
    <w:rsid w:val="00744B6A"/>
    <w:rsid w:val="00766723"/>
    <w:rsid w:val="0077069A"/>
    <w:rsid w:val="00774ACA"/>
    <w:rsid w:val="00777309"/>
    <w:rsid w:val="00786B32"/>
    <w:rsid w:val="007918C4"/>
    <w:rsid w:val="007A5633"/>
    <w:rsid w:val="007B1EB0"/>
    <w:rsid w:val="007B5F23"/>
    <w:rsid w:val="007C1489"/>
    <w:rsid w:val="007C1899"/>
    <w:rsid w:val="007C6C97"/>
    <w:rsid w:val="007D0852"/>
    <w:rsid w:val="007D1A46"/>
    <w:rsid w:val="008011B6"/>
    <w:rsid w:val="00801FEC"/>
    <w:rsid w:val="008346D5"/>
    <w:rsid w:val="00851257"/>
    <w:rsid w:val="00852CC5"/>
    <w:rsid w:val="008749C7"/>
    <w:rsid w:val="00895625"/>
    <w:rsid w:val="008B29C5"/>
    <w:rsid w:val="008C0090"/>
    <w:rsid w:val="008D593A"/>
    <w:rsid w:val="008F42A0"/>
    <w:rsid w:val="008F57B9"/>
    <w:rsid w:val="008F7227"/>
    <w:rsid w:val="0091529C"/>
    <w:rsid w:val="009307E3"/>
    <w:rsid w:val="00931EFD"/>
    <w:rsid w:val="00946093"/>
    <w:rsid w:val="00955D8C"/>
    <w:rsid w:val="009D2094"/>
    <w:rsid w:val="00A1629D"/>
    <w:rsid w:val="00A41374"/>
    <w:rsid w:val="00A45C12"/>
    <w:rsid w:val="00A6077E"/>
    <w:rsid w:val="00A83463"/>
    <w:rsid w:val="00A911C8"/>
    <w:rsid w:val="00A91524"/>
    <w:rsid w:val="00AA2828"/>
    <w:rsid w:val="00AD208B"/>
    <w:rsid w:val="00AE1160"/>
    <w:rsid w:val="00AE5D0A"/>
    <w:rsid w:val="00AF23C2"/>
    <w:rsid w:val="00B3443E"/>
    <w:rsid w:val="00B40BA6"/>
    <w:rsid w:val="00B6597C"/>
    <w:rsid w:val="00B71FA9"/>
    <w:rsid w:val="00B8318D"/>
    <w:rsid w:val="00B86150"/>
    <w:rsid w:val="00BC27D4"/>
    <w:rsid w:val="00BC754B"/>
    <w:rsid w:val="00BD4DBA"/>
    <w:rsid w:val="00BD7FA0"/>
    <w:rsid w:val="00BE6D9A"/>
    <w:rsid w:val="00C1039A"/>
    <w:rsid w:val="00C5548B"/>
    <w:rsid w:val="00C71A2B"/>
    <w:rsid w:val="00C939CC"/>
    <w:rsid w:val="00C9506F"/>
    <w:rsid w:val="00CD5518"/>
    <w:rsid w:val="00CD7692"/>
    <w:rsid w:val="00D03B4A"/>
    <w:rsid w:val="00D07683"/>
    <w:rsid w:val="00D1068D"/>
    <w:rsid w:val="00D10D0F"/>
    <w:rsid w:val="00D264AD"/>
    <w:rsid w:val="00D44B57"/>
    <w:rsid w:val="00D540AB"/>
    <w:rsid w:val="00D61ADC"/>
    <w:rsid w:val="00D63D94"/>
    <w:rsid w:val="00D6605C"/>
    <w:rsid w:val="00D72087"/>
    <w:rsid w:val="00D80078"/>
    <w:rsid w:val="00D90CC9"/>
    <w:rsid w:val="00DB11FA"/>
    <w:rsid w:val="00DC30D2"/>
    <w:rsid w:val="00DC3DF8"/>
    <w:rsid w:val="00DF301E"/>
    <w:rsid w:val="00E0602B"/>
    <w:rsid w:val="00E07228"/>
    <w:rsid w:val="00E15671"/>
    <w:rsid w:val="00E2436F"/>
    <w:rsid w:val="00E262E5"/>
    <w:rsid w:val="00E33EAB"/>
    <w:rsid w:val="00E3741B"/>
    <w:rsid w:val="00E53585"/>
    <w:rsid w:val="00E752C1"/>
    <w:rsid w:val="00E9093B"/>
    <w:rsid w:val="00EB1268"/>
    <w:rsid w:val="00EB1C39"/>
    <w:rsid w:val="00EC0271"/>
    <w:rsid w:val="00EE1A8F"/>
    <w:rsid w:val="00EF560D"/>
    <w:rsid w:val="00F11872"/>
    <w:rsid w:val="00F13D45"/>
    <w:rsid w:val="00F17644"/>
    <w:rsid w:val="00F2631B"/>
    <w:rsid w:val="00F40DC2"/>
    <w:rsid w:val="00F51F8E"/>
    <w:rsid w:val="00F81BB0"/>
    <w:rsid w:val="00F82DE9"/>
    <w:rsid w:val="00F951D5"/>
    <w:rsid w:val="00FD69E4"/>
    <w:rsid w:val="00FE2615"/>
    <w:rsid w:val="00FE3580"/>
    <w:rsid w:val="0FFB5EFB"/>
    <w:rsid w:val="28C975BA"/>
    <w:rsid w:val="2DB858CD"/>
    <w:rsid w:val="31A72674"/>
    <w:rsid w:val="36992099"/>
    <w:rsid w:val="3B1C7C2F"/>
    <w:rsid w:val="60DC55E7"/>
    <w:rsid w:val="6AF7222F"/>
    <w:rsid w:val="DD7EF12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240"/>
      <w:jc w:val="both"/>
    </w:pPr>
    <w:rPr>
      <w:rFonts w:ascii="Times New Roman" w:hAnsi="Times New Roman" w:eastAsia="宋体" w:cs="Times New Roman"/>
      <w:sz w:val="24"/>
      <w:szCs w:val="24"/>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qFormat/>
    <w:uiPriority w:val="0"/>
    <w:pPr>
      <w:spacing w:before="0" w:beforeAutospacing="0" w:after="0"/>
      <w:jc w:val="left"/>
    </w:pPr>
    <w:rPr>
      <w:rFonts w:ascii="PMingLiU" w:hAnsi="PMingLiU" w:eastAsia="PMingLiU" w:cs="PMingLiU"/>
      <w:sz w:val="20"/>
      <w:szCs w:val="20"/>
      <w:lang w:eastAsia="zh-TW"/>
    </w:rPr>
  </w:style>
  <w:style w:type="paragraph" w:styleId="3">
    <w:name w:val="Body Text"/>
    <w:basedOn w:val="1"/>
    <w:link w:val="12"/>
    <w:unhideWhenUsed/>
    <w:qFormat/>
    <w:uiPriority w:val="99"/>
    <w:rPr>
      <w:rFonts w:cs="Simplified Arabic"/>
    </w:rPr>
  </w:style>
  <w:style w:type="paragraph" w:styleId="4">
    <w:name w:val="Balloon Text"/>
    <w:basedOn w:val="1"/>
    <w:link w:val="16"/>
    <w:semiHidden/>
    <w:unhideWhenUsed/>
    <w:qFormat/>
    <w:uiPriority w:val="99"/>
    <w:pPr>
      <w:spacing w:before="0" w:after="0"/>
    </w:pPr>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8"/>
    <w:semiHidden/>
    <w:unhideWhenUsed/>
    <w:qFormat/>
    <w:uiPriority w:val="99"/>
    <w:pPr>
      <w:spacing w:before="100" w:beforeAutospacing="1" w:after="240"/>
    </w:pPr>
    <w:rPr>
      <w:rFonts w:ascii="Times New Roman" w:hAnsi="Times New Roman" w:eastAsia="宋体" w:cs="Times New Roman"/>
      <w:b/>
      <w:bCs/>
      <w:sz w:val="24"/>
      <w:szCs w:val="24"/>
      <w:lang w:eastAsia="zh-CN"/>
    </w:rPr>
  </w:style>
  <w:style w:type="character" w:styleId="10">
    <w:name w:val="Hyperlink"/>
    <w:basedOn w:val="9"/>
    <w:unhideWhenUsed/>
    <w:qFormat/>
    <w:uiPriority w:val="99"/>
    <w:rPr>
      <w:color w:val="0563C1" w:themeColor="hyperlink"/>
      <w:u w:val="single"/>
      <w14:textFill>
        <w14:solidFill>
          <w14:schemeClr w14:val="hlink"/>
        </w14:solidFill>
      </w14:textFill>
    </w:rPr>
  </w:style>
  <w:style w:type="character" w:styleId="11">
    <w:name w:val="annotation reference"/>
    <w:qFormat/>
    <w:uiPriority w:val="99"/>
    <w:rPr>
      <w:sz w:val="16"/>
    </w:rPr>
  </w:style>
  <w:style w:type="character" w:customStyle="1" w:styleId="12">
    <w:name w:val="正文文本 字符"/>
    <w:basedOn w:val="9"/>
    <w:link w:val="3"/>
    <w:qFormat/>
    <w:uiPriority w:val="99"/>
    <w:rPr>
      <w:rFonts w:ascii="Times New Roman" w:hAnsi="Times New Roman" w:eastAsia="宋体" w:cs="Simplified Arabic"/>
      <w:sz w:val="24"/>
      <w:szCs w:val="24"/>
    </w:rPr>
  </w:style>
  <w:style w:type="paragraph" w:customStyle="1" w:styleId="13">
    <w:name w:val="修订1"/>
    <w:hidden/>
    <w:semiHidden/>
    <w:qFormat/>
    <w:uiPriority w:val="99"/>
    <w:rPr>
      <w:rFonts w:ascii="Times New Roman" w:hAnsi="Times New Roman" w:eastAsia="宋体" w:cs="Times New Roman"/>
      <w:sz w:val="24"/>
      <w:szCs w:val="24"/>
      <w:lang w:val="en-US" w:eastAsia="zh-CN" w:bidi="ar-SA"/>
    </w:rPr>
  </w:style>
  <w:style w:type="character" w:customStyle="1" w:styleId="14">
    <w:name w:val="页眉 字符"/>
    <w:basedOn w:val="9"/>
    <w:link w:val="6"/>
    <w:qFormat/>
    <w:uiPriority w:val="99"/>
    <w:rPr>
      <w:rFonts w:ascii="Times New Roman" w:hAnsi="Times New Roman" w:eastAsia="宋体" w:cs="Times New Roman"/>
      <w:sz w:val="18"/>
      <w:szCs w:val="18"/>
    </w:rPr>
  </w:style>
  <w:style w:type="character" w:customStyle="1" w:styleId="15">
    <w:name w:val="页脚 字符"/>
    <w:basedOn w:val="9"/>
    <w:link w:val="5"/>
    <w:qFormat/>
    <w:uiPriority w:val="99"/>
    <w:rPr>
      <w:rFonts w:ascii="Times New Roman" w:hAnsi="Times New Roman" w:eastAsia="宋体" w:cs="Times New Roman"/>
      <w:sz w:val="18"/>
      <w:szCs w:val="18"/>
    </w:rPr>
  </w:style>
  <w:style w:type="character" w:customStyle="1" w:styleId="16">
    <w:name w:val="批注框文本 字符"/>
    <w:basedOn w:val="9"/>
    <w:link w:val="4"/>
    <w:semiHidden/>
    <w:qFormat/>
    <w:uiPriority w:val="99"/>
    <w:rPr>
      <w:rFonts w:ascii="Times New Roman" w:hAnsi="Times New Roman" w:eastAsia="宋体" w:cs="Times New Roman"/>
      <w:sz w:val="18"/>
      <w:szCs w:val="18"/>
    </w:rPr>
  </w:style>
  <w:style w:type="character" w:customStyle="1" w:styleId="17">
    <w:name w:val="批注文字 字符"/>
    <w:basedOn w:val="9"/>
    <w:link w:val="2"/>
    <w:qFormat/>
    <w:uiPriority w:val="0"/>
    <w:rPr>
      <w:rFonts w:ascii="PMingLiU" w:hAnsi="PMingLiU" w:eastAsia="PMingLiU" w:cs="PMingLiU"/>
      <w:kern w:val="0"/>
      <w:sz w:val="20"/>
      <w:szCs w:val="20"/>
      <w:lang w:eastAsia="zh-TW"/>
    </w:rPr>
  </w:style>
  <w:style w:type="character" w:customStyle="1" w:styleId="18">
    <w:name w:val="批注主题 字符"/>
    <w:basedOn w:val="17"/>
    <w:link w:val="7"/>
    <w:semiHidden/>
    <w:qFormat/>
    <w:uiPriority w:val="99"/>
    <w:rPr>
      <w:rFonts w:ascii="Times New Roman" w:hAnsi="Times New Roman" w:eastAsia="宋体" w:cs="Times New Roman"/>
      <w:b/>
      <w:bCs/>
      <w:kern w:val="0"/>
      <w:sz w:val="24"/>
      <w:szCs w:val="24"/>
      <w:lang w:eastAsia="zh-TW"/>
    </w:rPr>
  </w:style>
  <w:style w:type="character" w:customStyle="1" w:styleId="19">
    <w:name w:val="未处理的提及1"/>
    <w:basedOn w:val="9"/>
    <w:semiHidden/>
    <w:unhideWhenUsed/>
    <w:qFormat/>
    <w:uiPriority w:val="99"/>
    <w:rPr>
      <w:color w:val="605E5C"/>
      <w:shd w:val="clear" w:color="auto" w:fill="E1DFDD"/>
    </w:rPr>
  </w:style>
  <w:style w:type="paragraph" w:customStyle="1" w:styleId="20">
    <w:name w:val="Revision1"/>
    <w:hidden/>
    <w:unhideWhenUsed/>
    <w:qFormat/>
    <w:uiPriority w:val="99"/>
    <w:rPr>
      <w:rFonts w:ascii="Times New Roman" w:hAnsi="Times New Roman" w:eastAsia="宋体" w:cs="Times New Roman"/>
      <w:sz w:val="24"/>
      <w:szCs w:val="24"/>
      <w:lang w:val="en-US" w:eastAsia="zh-CN" w:bidi="ar-SA"/>
    </w:rPr>
  </w:style>
  <w:style w:type="character" w:customStyle="1" w:styleId="21">
    <w:name w:val="Unresolved Mention1"/>
    <w:basedOn w:val="9"/>
    <w:semiHidden/>
    <w:unhideWhenUsed/>
    <w:qFormat/>
    <w:uiPriority w:val="99"/>
    <w:rPr>
      <w:color w:val="605E5C"/>
      <w:shd w:val="clear" w:color="auto" w:fill="E1DFDD"/>
    </w:rPr>
  </w:style>
  <w:style w:type="paragraph" w:customStyle="1" w:styleId="22">
    <w:name w:val="Revision"/>
    <w:hidden/>
    <w:semiHidden/>
    <w:qFormat/>
    <w:uiPriority w:val="99"/>
    <w:rPr>
      <w:rFonts w:ascii="Times New Roman" w:hAnsi="Times New Roman" w:eastAsia="宋体" w:cs="Times New Roman"/>
      <w:sz w:val="24"/>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131</Words>
  <Characters>748</Characters>
  <Lines>6</Lines>
  <Paragraphs>1</Paragraphs>
  <TotalTime>0</TotalTime>
  <ScaleCrop>false</ScaleCrop>
  <LinksUpToDate>false</LinksUpToDate>
  <CharactersWithSpaces>878</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1900-01-01T13:00:00Z</dcterms:created>
  <dc:creator>oa</dc:creator>
  <cp:lastModifiedBy>oa</cp:lastModifiedBy>
  <dcterms:modified xsi:type="dcterms:W3CDTF">2023-12-18T17:18:06Z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