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619AC" w14:textId="77777777" w:rsidR="00E309B0" w:rsidRDefault="00303E0A">
      <w:pPr>
        <w:spacing w:line="440" w:lineRule="exact"/>
        <w:jc w:val="center"/>
        <w:rPr>
          <w:rFonts w:ascii="黑体" w:eastAsia="黑体" w:hAnsi="黑体"/>
          <w:sz w:val="36"/>
          <w:szCs w:val="36"/>
        </w:rPr>
      </w:pPr>
      <w:r>
        <w:rPr>
          <w:rFonts w:ascii="黑体" w:eastAsia="黑体" w:hAnsi="黑体"/>
          <w:sz w:val="36"/>
          <w:szCs w:val="36"/>
        </w:rPr>
        <w:t>经营者集中简易案件公示表</w:t>
      </w:r>
    </w:p>
    <w:p w14:paraId="01D39B8D" w14:textId="77777777" w:rsidR="00E309B0" w:rsidRDefault="00E309B0">
      <w:pPr>
        <w:spacing w:line="440" w:lineRule="exact"/>
        <w:rPr>
          <w:rFonts w:ascii="Times New Roman"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796"/>
        <w:gridCol w:w="5153"/>
      </w:tblGrid>
      <w:tr w:rsidR="00E309B0" w14:paraId="2DD5EF79" w14:textId="77777777">
        <w:tc>
          <w:tcPr>
            <w:tcW w:w="1809" w:type="dxa"/>
            <w:shd w:val="clear" w:color="auto" w:fill="D9D9D9"/>
            <w:vAlign w:val="center"/>
          </w:tcPr>
          <w:p w14:paraId="2E032F50" w14:textId="77777777" w:rsidR="00E309B0" w:rsidRDefault="00303E0A">
            <w:pPr>
              <w:jc w:val="center"/>
              <w:rPr>
                <w:rFonts w:ascii="Times New Roman" w:hAnsi="Times New Roman"/>
                <w:color w:val="333333"/>
                <w:kern w:val="0"/>
                <w:sz w:val="24"/>
                <w:szCs w:val="24"/>
              </w:rPr>
            </w:pPr>
            <w:r>
              <w:rPr>
                <w:rFonts w:ascii="Times New Roman" w:hAnsi="Times New Roman"/>
                <w:color w:val="333333"/>
                <w:kern w:val="0"/>
                <w:sz w:val="24"/>
                <w:szCs w:val="24"/>
              </w:rPr>
              <w:t>案件名称</w:t>
            </w:r>
          </w:p>
        </w:tc>
        <w:tc>
          <w:tcPr>
            <w:tcW w:w="6949" w:type="dxa"/>
            <w:gridSpan w:val="2"/>
          </w:tcPr>
          <w:p w14:paraId="4B3AE7A8" w14:textId="77777777" w:rsidR="00E309B0" w:rsidRDefault="000761D0">
            <w:pPr>
              <w:rPr>
                <w:rFonts w:ascii="Times New Roman" w:hAnsi="Times New Roman"/>
                <w:color w:val="333333"/>
                <w:kern w:val="0"/>
                <w:sz w:val="24"/>
                <w:szCs w:val="24"/>
              </w:rPr>
            </w:pPr>
            <w:r w:rsidRPr="000761D0">
              <w:rPr>
                <w:rFonts w:ascii="宋体" w:hAnsi="宋体" w:cs="宋体" w:hint="eastAsia"/>
                <w:kern w:val="0"/>
                <w:sz w:val="24"/>
                <w:szCs w:val="24"/>
              </w:rPr>
              <w:t>东风鸿泰控股集团有限公司与广东金晟新能源股份有限公司新设合营企业案</w:t>
            </w:r>
          </w:p>
        </w:tc>
      </w:tr>
      <w:tr w:rsidR="00E309B0" w14:paraId="5F94A9F3" w14:textId="77777777">
        <w:trPr>
          <w:trHeight w:val="993"/>
        </w:trPr>
        <w:tc>
          <w:tcPr>
            <w:tcW w:w="1809" w:type="dxa"/>
            <w:shd w:val="clear" w:color="auto" w:fill="D9D9D9"/>
            <w:vAlign w:val="center"/>
          </w:tcPr>
          <w:p w14:paraId="0350CDD3" w14:textId="77777777" w:rsidR="00E309B0" w:rsidRDefault="00303E0A">
            <w:pPr>
              <w:jc w:val="center"/>
              <w:rPr>
                <w:rFonts w:ascii="Times New Roman" w:hAnsi="Times New Roman"/>
                <w:color w:val="333333"/>
                <w:kern w:val="0"/>
                <w:sz w:val="24"/>
                <w:szCs w:val="24"/>
              </w:rPr>
            </w:pPr>
            <w:r>
              <w:rPr>
                <w:rFonts w:ascii="Times New Roman" w:hAnsi="Times New Roman"/>
                <w:color w:val="333333"/>
                <w:kern w:val="0"/>
                <w:sz w:val="24"/>
                <w:szCs w:val="24"/>
              </w:rPr>
              <w:t>交易概况</w:t>
            </w:r>
          </w:p>
          <w:p w14:paraId="4DF4DB76" w14:textId="77777777" w:rsidR="00E309B0" w:rsidRDefault="00303E0A">
            <w:pPr>
              <w:jc w:val="center"/>
              <w:rPr>
                <w:rFonts w:ascii="Times New Roman" w:hAnsi="Times New Roman"/>
                <w:color w:val="333333"/>
                <w:kern w:val="0"/>
                <w:sz w:val="24"/>
                <w:szCs w:val="24"/>
              </w:rPr>
            </w:pPr>
            <w:r>
              <w:rPr>
                <w:rFonts w:ascii="Times New Roman" w:hAnsi="Times New Roman"/>
                <w:color w:val="333333"/>
                <w:kern w:val="0"/>
                <w:sz w:val="24"/>
                <w:szCs w:val="24"/>
              </w:rPr>
              <w:t>（限</w:t>
            </w:r>
            <w:r>
              <w:rPr>
                <w:rFonts w:ascii="Times New Roman" w:hAnsi="Times New Roman"/>
                <w:color w:val="333333"/>
                <w:kern w:val="0"/>
                <w:sz w:val="24"/>
                <w:szCs w:val="24"/>
              </w:rPr>
              <w:t>200</w:t>
            </w:r>
            <w:r>
              <w:rPr>
                <w:rFonts w:ascii="Times New Roman" w:hAnsi="Times New Roman"/>
                <w:color w:val="333333"/>
                <w:kern w:val="0"/>
                <w:sz w:val="24"/>
                <w:szCs w:val="24"/>
              </w:rPr>
              <w:t>字内）</w:t>
            </w:r>
          </w:p>
        </w:tc>
        <w:tc>
          <w:tcPr>
            <w:tcW w:w="6949" w:type="dxa"/>
            <w:gridSpan w:val="2"/>
          </w:tcPr>
          <w:p w14:paraId="45942678" w14:textId="77777777" w:rsidR="00E309B0" w:rsidRDefault="000761D0">
            <w:pPr>
              <w:rPr>
                <w:rFonts w:ascii="Times New Roman" w:hAnsi="Times New Roman"/>
                <w:color w:val="333333"/>
                <w:kern w:val="0"/>
                <w:sz w:val="24"/>
                <w:szCs w:val="24"/>
              </w:rPr>
            </w:pPr>
            <w:bookmarkStart w:id="0" w:name="OLE_LINK7"/>
            <w:r w:rsidRPr="000761D0">
              <w:rPr>
                <w:rFonts w:ascii="宋体" w:hAnsi="宋体" w:cs="宋体" w:hint="eastAsia"/>
                <w:kern w:val="0"/>
                <w:sz w:val="24"/>
                <w:szCs w:val="24"/>
              </w:rPr>
              <w:t>东风鸿泰控股集团有限公司</w:t>
            </w:r>
            <w:r>
              <w:rPr>
                <w:rFonts w:ascii="Times New Roman" w:hAnsi="Times New Roman"/>
                <w:color w:val="333333"/>
                <w:kern w:val="0"/>
                <w:sz w:val="24"/>
                <w:szCs w:val="24"/>
              </w:rPr>
              <w:t>（</w:t>
            </w:r>
            <w:r>
              <w:rPr>
                <w:rFonts w:ascii="Times New Roman" w:hAnsi="Times New Roman" w:hint="eastAsia"/>
                <w:color w:val="333333"/>
                <w:kern w:val="0"/>
                <w:sz w:val="24"/>
                <w:szCs w:val="24"/>
              </w:rPr>
              <w:t>“东风鸿泰”</w:t>
            </w:r>
            <w:r>
              <w:rPr>
                <w:rFonts w:ascii="Times New Roman" w:hAnsi="Times New Roman"/>
                <w:color w:val="333333"/>
                <w:kern w:val="0"/>
                <w:sz w:val="24"/>
                <w:szCs w:val="24"/>
              </w:rPr>
              <w:t>）</w:t>
            </w:r>
            <w:r>
              <w:rPr>
                <w:rFonts w:ascii="Times New Roman" w:hAnsi="Times New Roman" w:hint="eastAsia"/>
                <w:color w:val="333333"/>
                <w:kern w:val="0"/>
                <w:sz w:val="24"/>
                <w:szCs w:val="24"/>
              </w:rPr>
              <w:t>与</w:t>
            </w:r>
            <w:r w:rsidRPr="000761D0">
              <w:rPr>
                <w:rFonts w:ascii="宋体" w:hAnsi="宋体" w:cs="宋体" w:hint="eastAsia"/>
                <w:kern w:val="0"/>
                <w:sz w:val="24"/>
                <w:szCs w:val="24"/>
              </w:rPr>
              <w:t>广东金晟新能源股份有限公司</w:t>
            </w:r>
            <w:r>
              <w:rPr>
                <w:rFonts w:ascii="Times New Roman" w:hAnsi="Times New Roman"/>
                <w:color w:val="333333"/>
                <w:kern w:val="0"/>
                <w:sz w:val="24"/>
                <w:szCs w:val="24"/>
              </w:rPr>
              <w:t>（</w:t>
            </w:r>
            <w:r>
              <w:rPr>
                <w:rFonts w:ascii="Times New Roman" w:hAnsi="Times New Roman" w:hint="eastAsia"/>
                <w:color w:val="333333"/>
                <w:kern w:val="0"/>
                <w:sz w:val="24"/>
                <w:szCs w:val="24"/>
              </w:rPr>
              <w:t>“广东金晟”</w:t>
            </w:r>
            <w:r>
              <w:rPr>
                <w:rFonts w:ascii="Times New Roman" w:hAnsi="Times New Roman"/>
                <w:color w:val="333333"/>
                <w:kern w:val="0"/>
                <w:sz w:val="24"/>
                <w:szCs w:val="24"/>
              </w:rPr>
              <w:t>）</w:t>
            </w:r>
            <w:r>
              <w:rPr>
                <w:rFonts w:ascii="Times New Roman" w:hAnsi="Times New Roman" w:hint="eastAsia"/>
                <w:color w:val="333333"/>
                <w:kern w:val="0"/>
                <w:sz w:val="24"/>
                <w:szCs w:val="24"/>
              </w:rPr>
              <w:t>拟成立一家合营企业</w:t>
            </w:r>
            <w:r>
              <w:rPr>
                <w:rFonts w:ascii="Times New Roman" w:hAnsi="Times New Roman"/>
                <w:color w:val="333333"/>
                <w:kern w:val="0"/>
                <w:sz w:val="24"/>
                <w:szCs w:val="24"/>
              </w:rPr>
              <w:t>，</w:t>
            </w:r>
            <w:r>
              <w:rPr>
                <w:rFonts w:ascii="Times New Roman" w:hAnsi="Times New Roman" w:hint="eastAsia"/>
                <w:color w:val="333333"/>
                <w:kern w:val="0"/>
                <w:sz w:val="24"/>
                <w:szCs w:val="24"/>
              </w:rPr>
              <w:t>从事锂离子动力电池的拆解回收业务</w:t>
            </w:r>
            <w:r>
              <w:rPr>
                <w:rFonts w:ascii="Times New Roman" w:hAnsi="Times New Roman"/>
                <w:color w:val="333333"/>
                <w:kern w:val="0"/>
                <w:sz w:val="24"/>
                <w:szCs w:val="24"/>
              </w:rPr>
              <w:t>。</w:t>
            </w:r>
            <w:r>
              <w:rPr>
                <w:rFonts w:ascii="Times New Roman" w:hAnsi="Times New Roman" w:hint="eastAsia"/>
                <w:color w:val="333333"/>
                <w:kern w:val="0"/>
                <w:sz w:val="24"/>
                <w:szCs w:val="24"/>
              </w:rPr>
              <w:t>交易</w:t>
            </w:r>
            <w:r w:rsidR="003A509C">
              <w:rPr>
                <w:rFonts w:ascii="Times New Roman" w:hAnsi="Times New Roman" w:hint="eastAsia"/>
                <w:color w:val="333333"/>
                <w:kern w:val="0"/>
                <w:sz w:val="24"/>
                <w:szCs w:val="24"/>
              </w:rPr>
              <w:t>完成</w:t>
            </w:r>
            <w:r>
              <w:rPr>
                <w:rFonts w:ascii="Times New Roman" w:hAnsi="Times New Roman" w:hint="eastAsia"/>
                <w:color w:val="333333"/>
                <w:kern w:val="0"/>
                <w:sz w:val="24"/>
                <w:szCs w:val="24"/>
              </w:rPr>
              <w:t>后</w:t>
            </w:r>
            <w:r>
              <w:rPr>
                <w:rFonts w:ascii="Times New Roman" w:hAnsi="Times New Roman"/>
                <w:color w:val="333333"/>
                <w:kern w:val="0"/>
                <w:sz w:val="24"/>
                <w:szCs w:val="24"/>
              </w:rPr>
              <w:t>，</w:t>
            </w:r>
            <w:r>
              <w:rPr>
                <w:rFonts w:ascii="Times New Roman" w:hAnsi="Times New Roman" w:hint="eastAsia"/>
                <w:color w:val="333333"/>
                <w:kern w:val="0"/>
                <w:sz w:val="24"/>
                <w:szCs w:val="24"/>
              </w:rPr>
              <w:t>东风鸿泰和广东金晟将分别持有合营企业的</w:t>
            </w:r>
            <w:r>
              <w:rPr>
                <w:rFonts w:ascii="Times New Roman" w:hAnsi="Times New Roman"/>
                <w:color w:val="333333"/>
                <w:kern w:val="0"/>
                <w:sz w:val="24"/>
                <w:szCs w:val="24"/>
              </w:rPr>
              <w:t>51%</w:t>
            </w:r>
            <w:r>
              <w:rPr>
                <w:rFonts w:ascii="Times New Roman" w:hAnsi="Times New Roman" w:hint="eastAsia"/>
                <w:color w:val="333333"/>
                <w:kern w:val="0"/>
                <w:sz w:val="24"/>
                <w:szCs w:val="24"/>
              </w:rPr>
              <w:t>和</w:t>
            </w:r>
            <w:r>
              <w:rPr>
                <w:rFonts w:ascii="Times New Roman" w:hAnsi="Times New Roman"/>
                <w:color w:val="333333"/>
                <w:kern w:val="0"/>
                <w:sz w:val="24"/>
                <w:szCs w:val="24"/>
              </w:rPr>
              <w:t>49%</w:t>
            </w:r>
            <w:r w:rsidR="003A509C">
              <w:rPr>
                <w:rFonts w:ascii="Times New Roman" w:hAnsi="Times New Roman" w:hint="eastAsia"/>
                <w:color w:val="333333"/>
                <w:kern w:val="0"/>
                <w:sz w:val="24"/>
                <w:szCs w:val="24"/>
              </w:rPr>
              <w:t>的</w:t>
            </w:r>
            <w:r>
              <w:rPr>
                <w:rFonts w:ascii="Times New Roman" w:hAnsi="Times New Roman" w:hint="eastAsia"/>
                <w:color w:val="333333"/>
                <w:kern w:val="0"/>
                <w:sz w:val="24"/>
                <w:szCs w:val="24"/>
              </w:rPr>
              <w:t>股权</w:t>
            </w:r>
            <w:r>
              <w:rPr>
                <w:rFonts w:ascii="Times New Roman" w:hAnsi="Times New Roman"/>
                <w:color w:val="333333"/>
                <w:kern w:val="0"/>
                <w:sz w:val="24"/>
                <w:szCs w:val="24"/>
              </w:rPr>
              <w:t>，</w:t>
            </w:r>
            <w:r>
              <w:rPr>
                <w:rFonts w:ascii="Times New Roman" w:hAnsi="Times New Roman" w:hint="eastAsia"/>
                <w:color w:val="333333"/>
                <w:kern w:val="0"/>
                <w:sz w:val="24"/>
                <w:szCs w:val="24"/>
              </w:rPr>
              <w:t>共同控制合营企业</w:t>
            </w:r>
            <w:bookmarkEnd w:id="0"/>
            <w:r>
              <w:rPr>
                <w:rFonts w:ascii="Times New Roman" w:hAnsi="Times New Roman"/>
                <w:color w:val="333333"/>
                <w:kern w:val="0"/>
                <w:sz w:val="24"/>
                <w:szCs w:val="24"/>
              </w:rPr>
              <w:t>。</w:t>
            </w:r>
          </w:p>
        </w:tc>
      </w:tr>
      <w:tr w:rsidR="00E309B0" w14:paraId="76D97B85" w14:textId="77777777">
        <w:trPr>
          <w:trHeight w:val="468"/>
        </w:trPr>
        <w:tc>
          <w:tcPr>
            <w:tcW w:w="1809" w:type="dxa"/>
            <w:vMerge w:val="restart"/>
            <w:shd w:val="clear" w:color="auto" w:fill="D9D9D9"/>
            <w:vAlign w:val="center"/>
          </w:tcPr>
          <w:p w14:paraId="6548BFBE" w14:textId="77777777" w:rsidR="00E309B0" w:rsidRDefault="00303E0A">
            <w:pPr>
              <w:jc w:val="center"/>
              <w:rPr>
                <w:rFonts w:ascii="Times New Roman" w:hAnsi="Times New Roman"/>
                <w:color w:val="333333"/>
                <w:kern w:val="0"/>
                <w:sz w:val="24"/>
                <w:szCs w:val="24"/>
              </w:rPr>
            </w:pPr>
            <w:r>
              <w:rPr>
                <w:rFonts w:ascii="Times New Roman" w:hAnsi="Times New Roman"/>
                <w:color w:val="333333"/>
                <w:kern w:val="0"/>
                <w:sz w:val="24"/>
                <w:szCs w:val="24"/>
              </w:rPr>
              <w:t>参与集中的</w:t>
            </w:r>
          </w:p>
          <w:p w14:paraId="32F0CE84" w14:textId="77777777" w:rsidR="00E309B0" w:rsidRDefault="00303E0A">
            <w:pPr>
              <w:jc w:val="center"/>
              <w:rPr>
                <w:rFonts w:ascii="Times New Roman" w:hAnsi="Times New Roman"/>
                <w:color w:val="333333"/>
                <w:kern w:val="0"/>
                <w:sz w:val="24"/>
                <w:szCs w:val="24"/>
              </w:rPr>
            </w:pPr>
            <w:r>
              <w:rPr>
                <w:rFonts w:ascii="Times New Roman" w:hAnsi="Times New Roman"/>
                <w:color w:val="333333"/>
                <w:kern w:val="0"/>
                <w:sz w:val="24"/>
                <w:szCs w:val="24"/>
              </w:rPr>
              <w:t>经营者简介</w:t>
            </w:r>
          </w:p>
        </w:tc>
        <w:tc>
          <w:tcPr>
            <w:tcW w:w="1796" w:type="dxa"/>
          </w:tcPr>
          <w:p w14:paraId="5B2F6668" w14:textId="77777777" w:rsidR="00E309B0" w:rsidRDefault="00303E0A">
            <w:pPr>
              <w:rPr>
                <w:rFonts w:ascii="Times New Roman" w:hAnsi="Times New Roman"/>
                <w:color w:val="333333"/>
                <w:kern w:val="0"/>
                <w:sz w:val="24"/>
                <w:szCs w:val="24"/>
              </w:rPr>
            </w:pPr>
            <w:r>
              <w:rPr>
                <w:rFonts w:ascii="Times New Roman" w:hAnsi="Times New Roman"/>
                <w:color w:val="333333"/>
                <w:kern w:val="0"/>
                <w:sz w:val="24"/>
                <w:szCs w:val="24"/>
              </w:rPr>
              <w:t>1</w:t>
            </w:r>
            <w:r>
              <w:rPr>
                <w:rFonts w:ascii="Times New Roman" w:hAnsi="Times New Roman"/>
                <w:color w:val="333333"/>
                <w:kern w:val="0"/>
                <w:sz w:val="24"/>
                <w:szCs w:val="24"/>
              </w:rPr>
              <w:t>、</w:t>
            </w:r>
            <w:r w:rsidR="000761D0">
              <w:rPr>
                <w:rFonts w:ascii="Times New Roman" w:hAnsi="Times New Roman" w:hint="eastAsia"/>
                <w:color w:val="333333"/>
                <w:kern w:val="0"/>
                <w:sz w:val="24"/>
                <w:szCs w:val="24"/>
              </w:rPr>
              <w:t>东风鸿泰</w:t>
            </w:r>
          </w:p>
        </w:tc>
        <w:tc>
          <w:tcPr>
            <w:tcW w:w="5153" w:type="dxa"/>
          </w:tcPr>
          <w:p w14:paraId="4478966C" w14:textId="77777777" w:rsidR="000761D0" w:rsidRPr="000761D0" w:rsidRDefault="000761D0" w:rsidP="000761D0">
            <w:pPr>
              <w:rPr>
                <w:rFonts w:ascii="Times New Roman" w:hAnsi="Times New Roman"/>
                <w:color w:val="333333"/>
                <w:kern w:val="0"/>
                <w:sz w:val="24"/>
                <w:szCs w:val="24"/>
              </w:rPr>
            </w:pPr>
            <w:r w:rsidRPr="000761D0">
              <w:rPr>
                <w:rFonts w:ascii="Times New Roman" w:hAnsi="Times New Roman" w:hint="eastAsia"/>
                <w:color w:val="333333"/>
                <w:kern w:val="0"/>
                <w:sz w:val="24"/>
                <w:szCs w:val="24"/>
              </w:rPr>
              <w:t>东风鸿泰于</w:t>
            </w:r>
            <w:r w:rsidRPr="000761D0">
              <w:rPr>
                <w:rFonts w:ascii="Times New Roman" w:hAnsi="Times New Roman" w:hint="eastAsia"/>
                <w:color w:val="333333"/>
                <w:kern w:val="0"/>
                <w:sz w:val="24"/>
                <w:szCs w:val="24"/>
              </w:rPr>
              <w:t>2006</w:t>
            </w:r>
            <w:r w:rsidRPr="000761D0">
              <w:rPr>
                <w:rFonts w:ascii="Times New Roman" w:hAnsi="Times New Roman" w:hint="eastAsia"/>
                <w:color w:val="333333"/>
                <w:kern w:val="0"/>
                <w:sz w:val="24"/>
                <w:szCs w:val="24"/>
              </w:rPr>
              <w:t>年</w:t>
            </w:r>
            <w:r w:rsidRPr="000761D0">
              <w:rPr>
                <w:rFonts w:ascii="Times New Roman" w:hAnsi="Times New Roman" w:hint="eastAsia"/>
                <w:color w:val="333333"/>
                <w:kern w:val="0"/>
                <w:sz w:val="24"/>
                <w:szCs w:val="24"/>
              </w:rPr>
              <w:t>8</w:t>
            </w:r>
            <w:r w:rsidRPr="000761D0">
              <w:rPr>
                <w:rFonts w:ascii="Times New Roman" w:hAnsi="Times New Roman" w:hint="eastAsia"/>
                <w:color w:val="333333"/>
                <w:kern w:val="0"/>
                <w:sz w:val="24"/>
                <w:szCs w:val="24"/>
              </w:rPr>
              <w:t>月</w:t>
            </w:r>
            <w:r w:rsidRPr="000761D0">
              <w:rPr>
                <w:rFonts w:ascii="Times New Roman" w:hAnsi="Times New Roman" w:hint="eastAsia"/>
                <w:color w:val="333333"/>
                <w:kern w:val="0"/>
                <w:sz w:val="24"/>
                <w:szCs w:val="24"/>
              </w:rPr>
              <w:t>29</w:t>
            </w:r>
            <w:r w:rsidRPr="000761D0">
              <w:rPr>
                <w:rFonts w:ascii="Times New Roman" w:hAnsi="Times New Roman" w:hint="eastAsia"/>
                <w:color w:val="333333"/>
                <w:kern w:val="0"/>
                <w:sz w:val="24"/>
                <w:szCs w:val="24"/>
              </w:rPr>
              <w:t>日</w:t>
            </w:r>
            <w:r>
              <w:rPr>
                <w:rFonts w:ascii="Times New Roman" w:hAnsi="Times New Roman" w:hint="eastAsia"/>
                <w:color w:val="333333"/>
                <w:kern w:val="0"/>
                <w:sz w:val="24"/>
                <w:szCs w:val="24"/>
              </w:rPr>
              <w:t>成立于</w:t>
            </w:r>
            <w:r w:rsidRPr="000761D0">
              <w:rPr>
                <w:rFonts w:ascii="Times New Roman" w:hAnsi="Times New Roman" w:hint="eastAsia"/>
                <w:color w:val="333333"/>
                <w:kern w:val="0"/>
                <w:sz w:val="24"/>
                <w:szCs w:val="24"/>
              </w:rPr>
              <w:t>湖北省</w:t>
            </w:r>
            <w:r>
              <w:rPr>
                <w:rFonts w:ascii="Times New Roman" w:hAnsi="Times New Roman" w:hint="eastAsia"/>
                <w:color w:val="333333"/>
                <w:kern w:val="0"/>
                <w:sz w:val="24"/>
                <w:szCs w:val="24"/>
              </w:rPr>
              <w:t>武汉市</w:t>
            </w:r>
            <w:r w:rsidRPr="000761D0">
              <w:rPr>
                <w:rFonts w:ascii="Times New Roman" w:hAnsi="Times New Roman" w:hint="eastAsia"/>
                <w:color w:val="333333"/>
                <w:kern w:val="0"/>
                <w:sz w:val="24"/>
                <w:szCs w:val="24"/>
              </w:rPr>
              <w:t>，主要业务是汽车零部件制造。</w:t>
            </w:r>
          </w:p>
          <w:p w14:paraId="612F83A0" w14:textId="1272B635" w:rsidR="00E309B0" w:rsidRPr="00AF352A" w:rsidRDefault="008F1C5E" w:rsidP="008F1C5E">
            <w:pPr>
              <w:rPr>
                <w:rFonts w:ascii="Times New Roman" w:hAnsi="Times New Roman"/>
                <w:color w:val="333333"/>
                <w:kern w:val="0"/>
                <w:sz w:val="24"/>
                <w:szCs w:val="24"/>
              </w:rPr>
            </w:pPr>
            <w:r>
              <w:rPr>
                <w:rFonts w:ascii="Times New Roman" w:hAnsi="Times New Roman" w:hint="eastAsia"/>
                <w:color w:val="333333"/>
                <w:kern w:val="0"/>
                <w:sz w:val="24"/>
                <w:szCs w:val="24"/>
              </w:rPr>
              <w:t>其</w:t>
            </w:r>
            <w:r w:rsidRPr="000761D0">
              <w:rPr>
                <w:rFonts w:ascii="Times New Roman" w:hAnsi="Times New Roman" w:hint="eastAsia"/>
                <w:color w:val="333333"/>
                <w:kern w:val="0"/>
                <w:sz w:val="24"/>
                <w:szCs w:val="24"/>
              </w:rPr>
              <w:t>最终控制人为东风汽车集团有限公司</w:t>
            </w:r>
            <w:r w:rsidR="000761D0" w:rsidRPr="000761D0">
              <w:rPr>
                <w:rFonts w:ascii="Times New Roman" w:hAnsi="Times New Roman" w:hint="eastAsia"/>
                <w:color w:val="333333"/>
                <w:kern w:val="0"/>
                <w:sz w:val="24"/>
                <w:szCs w:val="24"/>
              </w:rPr>
              <w:t>，</w:t>
            </w:r>
            <w:r>
              <w:rPr>
                <w:rFonts w:ascii="Times New Roman" w:hAnsi="Times New Roman" w:hint="eastAsia"/>
                <w:color w:val="333333"/>
                <w:kern w:val="0"/>
                <w:sz w:val="24"/>
                <w:szCs w:val="24"/>
              </w:rPr>
              <w:t>主要从事</w:t>
            </w:r>
            <w:r w:rsidRPr="000761D0">
              <w:rPr>
                <w:rFonts w:ascii="Times New Roman" w:hAnsi="Times New Roman" w:hint="eastAsia"/>
                <w:color w:val="333333"/>
                <w:kern w:val="0"/>
                <w:sz w:val="24"/>
                <w:szCs w:val="24"/>
              </w:rPr>
              <w:t>生产销售商用车</w:t>
            </w:r>
            <w:r w:rsidR="000761D0" w:rsidRPr="000761D0">
              <w:rPr>
                <w:rFonts w:ascii="Times New Roman" w:hAnsi="Times New Roman" w:hint="eastAsia"/>
                <w:color w:val="333333"/>
                <w:kern w:val="0"/>
                <w:sz w:val="24"/>
                <w:szCs w:val="24"/>
              </w:rPr>
              <w:t>、乘用车、新能源汽车等。</w:t>
            </w:r>
          </w:p>
        </w:tc>
      </w:tr>
      <w:tr w:rsidR="00E309B0" w14:paraId="7DAD31F0" w14:textId="77777777">
        <w:trPr>
          <w:trHeight w:val="404"/>
        </w:trPr>
        <w:tc>
          <w:tcPr>
            <w:tcW w:w="1809" w:type="dxa"/>
            <w:vMerge/>
            <w:shd w:val="clear" w:color="auto" w:fill="D9D9D9"/>
            <w:vAlign w:val="center"/>
          </w:tcPr>
          <w:p w14:paraId="10649AD3" w14:textId="77777777" w:rsidR="00E309B0" w:rsidRDefault="00E309B0">
            <w:pPr>
              <w:jc w:val="center"/>
              <w:rPr>
                <w:rFonts w:ascii="Times New Roman" w:hAnsi="Times New Roman"/>
                <w:color w:val="333333"/>
                <w:kern w:val="0"/>
                <w:sz w:val="24"/>
                <w:szCs w:val="24"/>
              </w:rPr>
            </w:pPr>
          </w:p>
        </w:tc>
        <w:tc>
          <w:tcPr>
            <w:tcW w:w="1796" w:type="dxa"/>
          </w:tcPr>
          <w:p w14:paraId="7E944DB7" w14:textId="77777777" w:rsidR="00E309B0" w:rsidRDefault="00303E0A">
            <w:pPr>
              <w:rPr>
                <w:rFonts w:ascii="Times New Roman" w:hAnsi="Times New Roman"/>
                <w:color w:val="333333"/>
                <w:kern w:val="0"/>
                <w:sz w:val="24"/>
                <w:szCs w:val="24"/>
              </w:rPr>
            </w:pPr>
            <w:r>
              <w:rPr>
                <w:rFonts w:ascii="Times New Roman" w:hAnsi="Times New Roman"/>
                <w:color w:val="333333"/>
                <w:kern w:val="0"/>
                <w:sz w:val="24"/>
                <w:szCs w:val="24"/>
              </w:rPr>
              <w:t>2</w:t>
            </w:r>
            <w:r>
              <w:rPr>
                <w:rFonts w:ascii="Times New Roman" w:hAnsi="Times New Roman"/>
                <w:color w:val="333333"/>
                <w:kern w:val="0"/>
                <w:sz w:val="24"/>
                <w:szCs w:val="24"/>
              </w:rPr>
              <w:t>、</w:t>
            </w:r>
            <w:r w:rsidR="000761D0">
              <w:rPr>
                <w:rFonts w:ascii="Times New Roman" w:hAnsi="Times New Roman" w:hint="eastAsia"/>
                <w:color w:val="333333"/>
                <w:kern w:val="0"/>
                <w:sz w:val="24"/>
                <w:szCs w:val="24"/>
              </w:rPr>
              <w:t>广东金晟</w:t>
            </w:r>
          </w:p>
        </w:tc>
        <w:tc>
          <w:tcPr>
            <w:tcW w:w="5153" w:type="dxa"/>
          </w:tcPr>
          <w:p w14:paraId="4B5E59F0" w14:textId="7E334AB7" w:rsidR="00E309B0" w:rsidRDefault="00AC56AB">
            <w:pPr>
              <w:rPr>
                <w:rFonts w:ascii="Times New Roman" w:hAnsi="Times New Roman"/>
                <w:color w:val="333333"/>
                <w:kern w:val="0"/>
                <w:sz w:val="24"/>
                <w:szCs w:val="24"/>
              </w:rPr>
            </w:pPr>
            <w:r w:rsidRPr="00AC56AB">
              <w:rPr>
                <w:rFonts w:ascii="Times New Roman" w:hAnsi="Times New Roman" w:hint="eastAsia"/>
                <w:color w:val="333333"/>
                <w:kern w:val="0"/>
                <w:sz w:val="24"/>
                <w:szCs w:val="24"/>
              </w:rPr>
              <w:t>广东金晟于</w:t>
            </w:r>
            <w:r w:rsidRPr="00AC56AB">
              <w:rPr>
                <w:rFonts w:ascii="Times New Roman" w:hAnsi="Times New Roman" w:hint="eastAsia"/>
                <w:color w:val="333333"/>
                <w:kern w:val="0"/>
                <w:sz w:val="24"/>
                <w:szCs w:val="24"/>
              </w:rPr>
              <w:t>2010</w:t>
            </w:r>
            <w:r w:rsidRPr="00AC56AB">
              <w:rPr>
                <w:rFonts w:ascii="Times New Roman" w:hAnsi="Times New Roman" w:hint="eastAsia"/>
                <w:color w:val="333333"/>
                <w:kern w:val="0"/>
                <w:sz w:val="24"/>
                <w:szCs w:val="24"/>
              </w:rPr>
              <w:t>年</w:t>
            </w:r>
            <w:r w:rsidRPr="00AC56AB">
              <w:rPr>
                <w:rFonts w:ascii="Times New Roman" w:hAnsi="Times New Roman" w:hint="eastAsia"/>
                <w:color w:val="333333"/>
                <w:kern w:val="0"/>
                <w:sz w:val="24"/>
                <w:szCs w:val="24"/>
              </w:rPr>
              <w:t>12</w:t>
            </w:r>
            <w:r w:rsidRPr="00AC56AB">
              <w:rPr>
                <w:rFonts w:ascii="Times New Roman" w:hAnsi="Times New Roman" w:hint="eastAsia"/>
                <w:color w:val="333333"/>
                <w:kern w:val="0"/>
                <w:sz w:val="24"/>
                <w:szCs w:val="24"/>
              </w:rPr>
              <w:t>月</w:t>
            </w:r>
            <w:r w:rsidRPr="00AC56AB">
              <w:rPr>
                <w:rFonts w:ascii="Times New Roman" w:hAnsi="Times New Roman" w:hint="eastAsia"/>
                <w:color w:val="333333"/>
                <w:kern w:val="0"/>
                <w:sz w:val="24"/>
                <w:szCs w:val="24"/>
              </w:rPr>
              <w:t>24</w:t>
            </w:r>
            <w:r w:rsidRPr="00AC56AB">
              <w:rPr>
                <w:rFonts w:ascii="Times New Roman" w:hAnsi="Times New Roman" w:hint="eastAsia"/>
                <w:color w:val="333333"/>
                <w:kern w:val="0"/>
                <w:sz w:val="24"/>
                <w:szCs w:val="24"/>
              </w:rPr>
              <w:t>日成立于广东省肇庆市，主要业务是锂电池的再生利用，主要产品包括电池级硫酸镍、硫酸钴、硫酸锰、碳酸锂。其最终控制人为自然人，主要从事锂离子动力电池的综合回收利用以及工业废物回收再生综合利用</w:t>
            </w:r>
            <w:r w:rsidR="00303E0A">
              <w:rPr>
                <w:rFonts w:ascii="Times New Roman" w:hAnsi="Times New Roman" w:hint="eastAsia"/>
                <w:color w:val="333333"/>
                <w:kern w:val="0"/>
                <w:sz w:val="24"/>
                <w:szCs w:val="24"/>
              </w:rPr>
              <w:t>。</w:t>
            </w:r>
          </w:p>
        </w:tc>
      </w:tr>
      <w:tr w:rsidR="00E309B0" w14:paraId="487221EC" w14:textId="77777777">
        <w:trPr>
          <w:trHeight w:val="279"/>
        </w:trPr>
        <w:tc>
          <w:tcPr>
            <w:tcW w:w="1809" w:type="dxa"/>
            <w:vMerge w:val="restart"/>
            <w:shd w:val="clear" w:color="auto" w:fill="D9D9D9"/>
            <w:vAlign w:val="center"/>
          </w:tcPr>
          <w:p w14:paraId="7861B7A6" w14:textId="77777777" w:rsidR="00E309B0" w:rsidRDefault="00303E0A">
            <w:pPr>
              <w:jc w:val="center"/>
              <w:rPr>
                <w:rFonts w:ascii="Times New Roman" w:hAnsi="Times New Roman"/>
                <w:color w:val="333333"/>
                <w:kern w:val="0"/>
                <w:sz w:val="24"/>
                <w:szCs w:val="24"/>
                <w:highlight w:val="yellow"/>
              </w:rPr>
            </w:pPr>
            <w:r>
              <w:rPr>
                <w:rFonts w:ascii="Times New Roman" w:hAnsi="Times New Roman"/>
                <w:color w:val="333333"/>
                <w:kern w:val="0"/>
                <w:sz w:val="24"/>
                <w:szCs w:val="24"/>
              </w:rPr>
              <w:t>简易案件理由（可以单选，也可以多选）</w:t>
            </w:r>
          </w:p>
        </w:tc>
        <w:tc>
          <w:tcPr>
            <w:tcW w:w="6949" w:type="dxa"/>
            <w:gridSpan w:val="2"/>
          </w:tcPr>
          <w:p w14:paraId="57CF580F" w14:textId="77777777" w:rsidR="00E309B0" w:rsidRDefault="00401F75">
            <w:pPr>
              <w:rPr>
                <w:rFonts w:ascii="Times New Roman" w:hAnsi="Times New Roman"/>
                <w:color w:val="333333"/>
                <w:kern w:val="0"/>
                <w:sz w:val="24"/>
                <w:szCs w:val="24"/>
              </w:rPr>
            </w:pPr>
            <w:r>
              <w:rPr>
                <w:rFonts w:ascii="宋体" w:hAnsi="宋体" w:cs="宋体" w:hint="eastAsia"/>
                <w:bCs/>
                <w:color w:val="000000"/>
              </w:rPr>
              <w:sym w:font="Wingdings" w:char="00A8"/>
            </w:r>
            <w:r>
              <w:rPr>
                <w:rFonts w:ascii="Times New Roman" w:hAnsi="Times New Roman"/>
                <w:color w:val="333333"/>
                <w:kern w:val="0"/>
                <w:sz w:val="24"/>
                <w:szCs w:val="24"/>
              </w:rPr>
              <w:t>1.</w:t>
            </w:r>
            <w:r>
              <w:rPr>
                <w:rFonts w:ascii="Times New Roman" w:hAnsi="Times New Roman"/>
                <w:color w:val="333333"/>
                <w:kern w:val="0"/>
                <w:sz w:val="24"/>
                <w:szCs w:val="24"/>
              </w:rPr>
              <w:t>在同一相关市场，所有参与集中的经营者所占市场份额之和小于</w:t>
            </w:r>
            <w:r>
              <w:rPr>
                <w:rFonts w:ascii="Times New Roman" w:hAnsi="Times New Roman"/>
                <w:color w:val="333333"/>
                <w:kern w:val="0"/>
                <w:sz w:val="24"/>
                <w:szCs w:val="24"/>
              </w:rPr>
              <w:t>15%</w:t>
            </w:r>
            <w:r>
              <w:rPr>
                <w:rFonts w:ascii="Times New Roman" w:hAnsi="Times New Roman"/>
                <w:color w:val="333333"/>
                <w:kern w:val="0"/>
                <w:sz w:val="24"/>
                <w:szCs w:val="24"/>
              </w:rPr>
              <w:t>。</w:t>
            </w:r>
          </w:p>
        </w:tc>
      </w:tr>
      <w:tr w:rsidR="00E309B0" w14:paraId="7214EF0F" w14:textId="77777777">
        <w:trPr>
          <w:trHeight w:val="330"/>
        </w:trPr>
        <w:tc>
          <w:tcPr>
            <w:tcW w:w="1809" w:type="dxa"/>
            <w:vMerge/>
            <w:shd w:val="clear" w:color="auto" w:fill="D9D9D9"/>
            <w:vAlign w:val="center"/>
          </w:tcPr>
          <w:p w14:paraId="5D8C38D8" w14:textId="77777777" w:rsidR="00E309B0" w:rsidRDefault="00E309B0">
            <w:pPr>
              <w:jc w:val="center"/>
              <w:rPr>
                <w:rFonts w:ascii="Times New Roman" w:hAnsi="Times New Roman"/>
                <w:color w:val="333333"/>
                <w:kern w:val="0"/>
                <w:sz w:val="24"/>
                <w:szCs w:val="24"/>
                <w:highlight w:val="yellow"/>
              </w:rPr>
            </w:pPr>
          </w:p>
        </w:tc>
        <w:tc>
          <w:tcPr>
            <w:tcW w:w="6949" w:type="dxa"/>
            <w:gridSpan w:val="2"/>
          </w:tcPr>
          <w:p w14:paraId="676D95B3" w14:textId="77777777" w:rsidR="00E309B0" w:rsidRDefault="000761D0">
            <w:pPr>
              <w:rPr>
                <w:rFonts w:ascii="Times New Roman" w:hAnsi="Times New Roman"/>
                <w:color w:val="333333"/>
                <w:kern w:val="0"/>
                <w:sz w:val="24"/>
                <w:szCs w:val="24"/>
              </w:rPr>
            </w:pPr>
            <w:r>
              <w:rPr>
                <w:rFonts w:ascii="宋体" w:hAnsi="宋体" w:cs="宋体" w:hint="eastAsia"/>
                <w:bCs/>
                <w:color w:val="000000"/>
              </w:rPr>
              <w:sym w:font="Wingdings" w:char="00A8"/>
            </w:r>
            <w:r>
              <w:rPr>
                <w:rFonts w:ascii="Times New Roman" w:hAnsi="Times New Roman"/>
                <w:color w:val="333333"/>
                <w:kern w:val="0"/>
                <w:sz w:val="24"/>
                <w:szCs w:val="24"/>
              </w:rPr>
              <w:t>2.</w:t>
            </w:r>
            <w:r>
              <w:rPr>
                <w:rFonts w:ascii="Times New Roman" w:hAnsi="Times New Roman"/>
                <w:color w:val="333333"/>
                <w:kern w:val="0"/>
                <w:sz w:val="24"/>
                <w:szCs w:val="24"/>
              </w:rPr>
              <w:t>存在上下游关系的参与集中的经营者，在上下游市场所占的市场份额均小于</w:t>
            </w:r>
            <w:r>
              <w:rPr>
                <w:rFonts w:ascii="Times New Roman" w:hAnsi="Times New Roman"/>
                <w:color w:val="333333"/>
                <w:kern w:val="0"/>
                <w:sz w:val="24"/>
                <w:szCs w:val="24"/>
              </w:rPr>
              <w:t>25%</w:t>
            </w:r>
            <w:r>
              <w:rPr>
                <w:rFonts w:ascii="Times New Roman" w:hAnsi="Times New Roman"/>
                <w:color w:val="333333"/>
                <w:kern w:val="0"/>
                <w:sz w:val="24"/>
                <w:szCs w:val="24"/>
              </w:rPr>
              <w:t>。</w:t>
            </w:r>
          </w:p>
        </w:tc>
      </w:tr>
      <w:tr w:rsidR="00E309B0" w14:paraId="1C765AA3" w14:textId="77777777">
        <w:trPr>
          <w:trHeight w:val="285"/>
        </w:trPr>
        <w:tc>
          <w:tcPr>
            <w:tcW w:w="1809" w:type="dxa"/>
            <w:vMerge/>
            <w:shd w:val="clear" w:color="auto" w:fill="D9D9D9"/>
            <w:vAlign w:val="center"/>
          </w:tcPr>
          <w:p w14:paraId="2823F608" w14:textId="77777777" w:rsidR="00E309B0" w:rsidRDefault="00E309B0">
            <w:pPr>
              <w:jc w:val="center"/>
              <w:rPr>
                <w:rFonts w:ascii="Times New Roman" w:hAnsi="Times New Roman"/>
                <w:color w:val="333333"/>
                <w:kern w:val="0"/>
                <w:sz w:val="24"/>
                <w:szCs w:val="24"/>
              </w:rPr>
            </w:pPr>
          </w:p>
        </w:tc>
        <w:tc>
          <w:tcPr>
            <w:tcW w:w="6949" w:type="dxa"/>
            <w:gridSpan w:val="2"/>
          </w:tcPr>
          <w:p w14:paraId="06A253D2" w14:textId="77777777" w:rsidR="00E309B0" w:rsidRDefault="000761D0">
            <w:pPr>
              <w:rPr>
                <w:rFonts w:ascii="Times New Roman" w:hAnsi="Times New Roman"/>
                <w:color w:val="333333"/>
                <w:kern w:val="0"/>
                <w:sz w:val="24"/>
                <w:szCs w:val="24"/>
              </w:rPr>
            </w:pPr>
            <w:r>
              <w:rPr>
                <w:rFonts w:ascii="宋体" w:hAnsi="宋体" w:cs="宋体" w:hint="eastAsia"/>
                <w:bCs/>
                <w:color w:val="000000"/>
              </w:rPr>
              <w:sym w:font="Wingdings" w:char="00FE"/>
            </w:r>
            <w:r>
              <w:rPr>
                <w:rFonts w:ascii="Times New Roman" w:hAnsi="Times New Roman"/>
                <w:color w:val="333333"/>
                <w:kern w:val="0"/>
                <w:sz w:val="24"/>
                <w:szCs w:val="24"/>
              </w:rPr>
              <w:t>3.</w:t>
            </w:r>
            <w:r>
              <w:rPr>
                <w:rFonts w:ascii="Times New Roman" w:hAnsi="Times New Roman"/>
                <w:color w:val="333333"/>
                <w:kern w:val="0"/>
                <w:sz w:val="24"/>
                <w:szCs w:val="24"/>
              </w:rPr>
              <w:t>不在同一相关市场、也不存在上下游关系的参与集中的经营者，在与交易有关的每个市场所占的份额均小于</w:t>
            </w:r>
            <w:r>
              <w:rPr>
                <w:rFonts w:ascii="Times New Roman" w:hAnsi="Times New Roman"/>
                <w:color w:val="333333"/>
                <w:kern w:val="0"/>
                <w:sz w:val="24"/>
                <w:szCs w:val="24"/>
              </w:rPr>
              <w:t>25%</w:t>
            </w:r>
            <w:r>
              <w:rPr>
                <w:rFonts w:ascii="Times New Roman" w:hAnsi="Times New Roman"/>
                <w:color w:val="333333"/>
                <w:kern w:val="0"/>
                <w:sz w:val="24"/>
                <w:szCs w:val="24"/>
              </w:rPr>
              <w:t>。</w:t>
            </w:r>
          </w:p>
        </w:tc>
      </w:tr>
      <w:tr w:rsidR="00E309B0" w14:paraId="16FEDEB9" w14:textId="77777777">
        <w:trPr>
          <w:trHeight w:val="632"/>
        </w:trPr>
        <w:tc>
          <w:tcPr>
            <w:tcW w:w="1809" w:type="dxa"/>
            <w:vMerge/>
            <w:shd w:val="clear" w:color="auto" w:fill="D9D9D9"/>
            <w:vAlign w:val="center"/>
          </w:tcPr>
          <w:p w14:paraId="037FCD4D" w14:textId="77777777" w:rsidR="00E309B0" w:rsidRDefault="00E309B0">
            <w:pPr>
              <w:jc w:val="center"/>
              <w:rPr>
                <w:rFonts w:ascii="Times New Roman" w:hAnsi="Times New Roman"/>
                <w:color w:val="333333"/>
                <w:kern w:val="0"/>
                <w:sz w:val="24"/>
                <w:szCs w:val="24"/>
              </w:rPr>
            </w:pPr>
          </w:p>
        </w:tc>
        <w:tc>
          <w:tcPr>
            <w:tcW w:w="6949" w:type="dxa"/>
            <w:gridSpan w:val="2"/>
          </w:tcPr>
          <w:p w14:paraId="58F3AB48" w14:textId="77777777" w:rsidR="00E309B0" w:rsidRDefault="00303E0A">
            <w:pPr>
              <w:rPr>
                <w:rFonts w:ascii="Times New Roman" w:hAnsi="Times New Roman"/>
                <w:color w:val="333333"/>
                <w:kern w:val="0"/>
                <w:sz w:val="24"/>
                <w:szCs w:val="24"/>
              </w:rPr>
            </w:pPr>
            <w:r>
              <w:rPr>
                <w:rFonts w:ascii="宋体" w:hAnsi="宋体" w:cs="宋体" w:hint="eastAsia"/>
                <w:bCs/>
                <w:color w:val="000000"/>
              </w:rPr>
              <w:sym w:font="Wingdings" w:char="00A8"/>
            </w:r>
            <w:r>
              <w:rPr>
                <w:rFonts w:ascii="Times New Roman" w:hAnsi="Times New Roman"/>
                <w:color w:val="333333"/>
                <w:kern w:val="0"/>
                <w:sz w:val="24"/>
                <w:szCs w:val="24"/>
              </w:rPr>
              <w:t>4.</w:t>
            </w:r>
            <w:r>
              <w:rPr>
                <w:rFonts w:ascii="Times New Roman" w:hAnsi="Times New Roman"/>
                <w:color w:val="333333"/>
                <w:kern w:val="0"/>
                <w:sz w:val="24"/>
                <w:szCs w:val="24"/>
              </w:rPr>
              <w:t>参与集中的经营者在中国境外设立合营企业，合营企业不在中国境内从事经济活动。</w:t>
            </w:r>
          </w:p>
        </w:tc>
      </w:tr>
      <w:tr w:rsidR="00E309B0" w14:paraId="41F72D9B" w14:textId="77777777">
        <w:trPr>
          <w:trHeight w:val="264"/>
        </w:trPr>
        <w:tc>
          <w:tcPr>
            <w:tcW w:w="1809" w:type="dxa"/>
            <w:vMerge/>
            <w:shd w:val="clear" w:color="auto" w:fill="D9D9D9"/>
            <w:vAlign w:val="center"/>
          </w:tcPr>
          <w:p w14:paraId="4AB31275" w14:textId="77777777" w:rsidR="00E309B0" w:rsidRDefault="00E309B0">
            <w:pPr>
              <w:jc w:val="center"/>
              <w:rPr>
                <w:rFonts w:ascii="Times New Roman" w:hAnsi="Times New Roman"/>
                <w:color w:val="333333"/>
                <w:kern w:val="0"/>
                <w:sz w:val="24"/>
                <w:szCs w:val="24"/>
              </w:rPr>
            </w:pPr>
          </w:p>
        </w:tc>
        <w:tc>
          <w:tcPr>
            <w:tcW w:w="6949" w:type="dxa"/>
            <w:gridSpan w:val="2"/>
          </w:tcPr>
          <w:p w14:paraId="52D7F5A2" w14:textId="77777777" w:rsidR="00E309B0" w:rsidRDefault="00303E0A">
            <w:pPr>
              <w:rPr>
                <w:rFonts w:ascii="Times New Roman" w:hAnsi="Times New Roman"/>
                <w:color w:val="333333"/>
                <w:kern w:val="0"/>
                <w:sz w:val="24"/>
                <w:szCs w:val="24"/>
              </w:rPr>
            </w:pPr>
            <w:r>
              <w:rPr>
                <w:rFonts w:ascii="宋体" w:hAnsi="宋体" w:cs="宋体" w:hint="eastAsia"/>
                <w:bCs/>
                <w:color w:val="000000"/>
              </w:rPr>
              <w:sym w:font="Wingdings" w:char="00A8"/>
            </w:r>
            <w:r>
              <w:rPr>
                <w:rFonts w:ascii="Times New Roman" w:hAnsi="Times New Roman"/>
                <w:color w:val="333333"/>
                <w:kern w:val="0"/>
                <w:sz w:val="24"/>
                <w:szCs w:val="24"/>
              </w:rPr>
              <w:t>5.</w:t>
            </w:r>
            <w:r>
              <w:rPr>
                <w:rFonts w:ascii="Times New Roman" w:hAnsi="Times New Roman"/>
                <w:color w:val="333333"/>
                <w:kern w:val="0"/>
                <w:sz w:val="24"/>
                <w:szCs w:val="24"/>
              </w:rPr>
              <w:t>参与集中的经营者收购境外企业股权或资产的，该境外企业不在中国境内从事经济活动。</w:t>
            </w:r>
          </w:p>
        </w:tc>
      </w:tr>
      <w:tr w:rsidR="00E309B0" w14:paraId="4F9BFC4C" w14:textId="77777777">
        <w:trPr>
          <w:trHeight w:val="345"/>
        </w:trPr>
        <w:tc>
          <w:tcPr>
            <w:tcW w:w="1809" w:type="dxa"/>
            <w:vMerge/>
            <w:shd w:val="clear" w:color="auto" w:fill="D9D9D9"/>
            <w:vAlign w:val="center"/>
          </w:tcPr>
          <w:p w14:paraId="429D6069" w14:textId="77777777" w:rsidR="00E309B0" w:rsidRDefault="00E309B0">
            <w:pPr>
              <w:jc w:val="center"/>
              <w:rPr>
                <w:rFonts w:ascii="Times New Roman" w:hAnsi="Times New Roman"/>
                <w:color w:val="333333"/>
                <w:kern w:val="0"/>
                <w:sz w:val="24"/>
                <w:szCs w:val="24"/>
              </w:rPr>
            </w:pPr>
          </w:p>
        </w:tc>
        <w:tc>
          <w:tcPr>
            <w:tcW w:w="6949" w:type="dxa"/>
            <w:gridSpan w:val="2"/>
          </w:tcPr>
          <w:p w14:paraId="2A887277" w14:textId="77777777" w:rsidR="00E309B0" w:rsidRDefault="00303E0A">
            <w:pPr>
              <w:rPr>
                <w:rFonts w:ascii="Times New Roman" w:hAnsi="Times New Roman"/>
                <w:color w:val="333333"/>
                <w:kern w:val="0"/>
                <w:sz w:val="24"/>
                <w:szCs w:val="24"/>
              </w:rPr>
            </w:pPr>
            <w:r>
              <w:rPr>
                <w:rFonts w:ascii="宋体" w:hAnsi="宋体" w:cs="宋体" w:hint="eastAsia"/>
                <w:bCs/>
                <w:color w:val="000000"/>
              </w:rPr>
              <w:sym w:font="Wingdings" w:char="00A8"/>
            </w:r>
            <w:r>
              <w:rPr>
                <w:rFonts w:ascii="Times New Roman" w:hAnsi="Times New Roman"/>
                <w:color w:val="333333"/>
                <w:kern w:val="0"/>
                <w:sz w:val="24"/>
                <w:szCs w:val="24"/>
              </w:rPr>
              <w:t>6.</w:t>
            </w:r>
            <w:r>
              <w:rPr>
                <w:rFonts w:ascii="Times New Roman" w:hAnsi="Times New Roman"/>
                <w:color w:val="333333"/>
                <w:kern w:val="0"/>
                <w:sz w:val="24"/>
                <w:szCs w:val="24"/>
              </w:rPr>
              <w:t>由两个以上的经营者共同控制的合营企业，通过集中被其中一个或一个以上经营者控制。</w:t>
            </w:r>
          </w:p>
        </w:tc>
      </w:tr>
      <w:tr w:rsidR="00E309B0" w14:paraId="36200699" w14:textId="77777777">
        <w:tc>
          <w:tcPr>
            <w:tcW w:w="1809" w:type="dxa"/>
            <w:shd w:val="clear" w:color="auto" w:fill="D9D9D9"/>
            <w:vAlign w:val="center"/>
          </w:tcPr>
          <w:p w14:paraId="2E2ACAE0" w14:textId="77777777" w:rsidR="00E309B0" w:rsidRDefault="00303E0A">
            <w:pPr>
              <w:jc w:val="center"/>
              <w:rPr>
                <w:rFonts w:ascii="Times New Roman" w:hAnsi="Times New Roman"/>
                <w:color w:val="333333"/>
                <w:kern w:val="0"/>
                <w:sz w:val="24"/>
                <w:szCs w:val="24"/>
              </w:rPr>
            </w:pPr>
            <w:r>
              <w:rPr>
                <w:rFonts w:ascii="Times New Roman" w:hAnsi="Times New Roman"/>
                <w:color w:val="333333"/>
                <w:kern w:val="0"/>
                <w:sz w:val="24"/>
                <w:szCs w:val="24"/>
              </w:rPr>
              <w:t>备注</w:t>
            </w:r>
          </w:p>
        </w:tc>
        <w:tc>
          <w:tcPr>
            <w:tcW w:w="6949" w:type="dxa"/>
            <w:gridSpan w:val="2"/>
          </w:tcPr>
          <w:p w14:paraId="3AB5AFFE" w14:textId="77777777" w:rsidR="00E309B0" w:rsidRDefault="000761D0">
            <w:pPr>
              <w:pStyle w:val="a3"/>
              <w:ind w:firstLineChars="0" w:firstLine="0"/>
              <w:rPr>
                <w:rFonts w:ascii="Times New Roman" w:hAnsi="Times New Roman"/>
                <w:b/>
                <w:bCs/>
                <w:color w:val="333333"/>
                <w:kern w:val="0"/>
                <w:sz w:val="24"/>
                <w:szCs w:val="24"/>
              </w:rPr>
            </w:pPr>
            <w:r>
              <w:rPr>
                <w:rFonts w:ascii="Times New Roman" w:hAnsi="Times New Roman" w:hint="eastAsia"/>
                <w:b/>
                <w:bCs/>
                <w:color w:val="333333"/>
                <w:kern w:val="0"/>
                <w:sz w:val="24"/>
                <w:szCs w:val="24"/>
              </w:rPr>
              <w:t>混合集中：</w:t>
            </w:r>
          </w:p>
          <w:p w14:paraId="672D7B16" w14:textId="77777777" w:rsidR="00E309B0" w:rsidRDefault="000761D0">
            <w:pPr>
              <w:pStyle w:val="a3"/>
              <w:ind w:firstLineChars="0" w:firstLine="0"/>
              <w:rPr>
                <w:rFonts w:ascii="Times New Roman" w:hAnsi="Times New Roman"/>
                <w:color w:val="333333"/>
                <w:kern w:val="0"/>
                <w:sz w:val="24"/>
                <w:szCs w:val="24"/>
              </w:rPr>
            </w:pPr>
            <w:r>
              <w:rPr>
                <w:rFonts w:ascii="Times New Roman" w:hAnsi="Times New Roman" w:hint="eastAsia"/>
                <w:color w:val="333333"/>
                <w:kern w:val="0"/>
                <w:sz w:val="24"/>
                <w:szCs w:val="24"/>
              </w:rPr>
              <w:t>2</w:t>
            </w:r>
            <w:r>
              <w:rPr>
                <w:rFonts w:ascii="Times New Roman" w:hAnsi="Times New Roman"/>
                <w:color w:val="333333"/>
                <w:kern w:val="0"/>
                <w:sz w:val="24"/>
                <w:szCs w:val="24"/>
              </w:rPr>
              <w:t>022</w:t>
            </w:r>
            <w:r>
              <w:rPr>
                <w:rFonts w:ascii="Times New Roman" w:hAnsi="Times New Roman" w:hint="eastAsia"/>
                <w:color w:val="333333"/>
                <w:kern w:val="0"/>
                <w:sz w:val="24"/>
                <w:szCs w:val="24"/>
              </w:rPr>
              <w:t>年中国境内锂离子动力电池拆解回收市场</w:t>
            </w:r>
          </w:p>
          <w:p w14:paraId="56D7F6B3" w14:textId="77777777" w:rsidR="000761D0" w:rsidRDefault="000761D0">
            <w:pPr>
              <w:pStyle w:val="a3"/>
              <w:ind w:firstLineChars="0" w:firstLine="0"/>
              <w:rPr>
                <w:rFonts w:ascii="Times New Roman" w:hAnsi="Times New Roman"/>
                <w:color w:val="333333"/>
                <w:kern w:val="0"/>
                <w:sz w:val="24"/>
                <w:szCs w:val="24"/>
              </w:rPr>
            </w:pPr>
            <w:r>
              <w:rPr>
                <w:rFonts w:ascii="Times New Roman" w:hAnsi="Times New Roman" w:hint="eastAsia"/>
                <w:color w:val="333333"/>
                <w:kern w:val="0"/>
                <w:sz w:val="24"/>
                <w:szCs w:val="24"/>
              </w:rPr>
              <w:t>广东金晟：</w:t>
            </w:r>
            <w:r w:rsidR="00AE77B1">
              <w:rPr>
                <w:rFonts w:ascii="Times New Roman" w:hAnsi="Times New Roman" w:hint="eastAsia"/>
                <w:color w:val="333333"/>
                <w:kern w:val="0"/>
                <w:sz w:val="24"/>
                <w:szCs w:val="24"/>
              </w:rPr>
              <w:t>[</w:t>
            </w:r>
            <w:r>
              <w:rPr>
                <w:rFonts w:ascii="Times New Roman" w:hAnsi="Times New Roman" w:hint="eastAsia"/>
                <w:color w:val="333333"/>
                <w:kern w:val="0"/>
                <w:sz w:val="24"/>
                <w:szCs w:val="24"/>
              </w:rPr>
              <w:t>5</w:t>
            </w:r>
            <w:r>
              <w:rPr>
                <w:rFonts w:ascii="Times New Roman" w:hAnsi="Times New Roman"/>
                <w:color w:val="333333"/>
                <w:kern w:val="0"/>
                <w:sz w:val="24"/>
                <w:szCs w:val="24"/>
              </w:rPr>
              <w:t>-10</w:t>
            </w:r>
            <w:r w:rsidR="00AE77B1">
              <w:rPr>
                <w:rFonts w:ascii="Times New Roman" w:hAnsi="Times New Roman"/>
                <w:color w:val="333333"/>
                <w:kern w:val="0"/>
                <w:sz w:val="24"/>
                <w:szCs w:val="24"/>
              </w:rPr>
              <w:t>]</w:t>
            </w:r>
            <w:r>
              <w:rPr>
                <w:rFonts w:ascii="Times New Roman" w:hAnsi="Times New Roman"/>
                <w:color w:val="333333"/>
                <w:kern w:val="0"/>
                <w:sz w:val="24"/>
                <w:szCs w:val="24"/>
              </w:rPr>
              <w:t>%</w:t>
            </w:r>
            <w:r>
              <w:rPr>
                <w:rFonts w:ascii="Times New Roman" w:hAnsi="Times New Roman" w:hint="eastAsia"/>
                <w:color w:val="333333"/>
                <w:kern w:val="0"/>
                <w:sz w:val="24"/>
                <w:szCs w:val="24"/>
              </w:rPr>
              <w:t>；合营企业（预估）：</w:t>
            </w:r>
            <w:r w:rsidR="00AE77B1">
              <w:rPr>
                <w:rFonts w:ascii="Times New Roman" w:hAnsi="Times New Roman" w:hint="eastAsia"/>
                <w:color w:val="333333"/>
                <w:kern w:val="0"/>
                <w:sz w:val="24"/>
                <w:szCs w:val="24"/>
              </w:rPr>
              <w:t>[</w:t>
            </w:r>
            <w:r>
              <w:rPr>
                <w:rFonts w:ascii="Times New Roman" w:hAnsi="Times New Roman" w:hint="eastAsia"/>
                <w:color w:val="333333"/>
                <w:kern w:val="0"/>
                <w:sz w:val="24"/>
                <w:szCs w:val="24"/>
              </w:rPr>
              <w:t>0</w:t>
            </w:r>
            <w:r>
              <w:rPr>
                <w:rFonts w:ascii="Times New Roman" w:hAnsi="Times New Roman"/>
                <w:color w:val="333333"/>
                <w:kern w:val="0"/>
                <w:sz w:val="24"/>
                <w:szCs w:val="24"/>
              </w:rPr>
              <w:t>-5</w:t>
            </w:r>
            <w:r w:rsidR="00AE77B1">
              <w:rPr>
                <w:rFonts w:ascii="Times New Roman" w:hAnsi="Times New Roman"/>
                <w:color w:val="333333"/>
                <w:kern w:val="0"/>
                <w:sz w:val="24"/>
                <w:szCs w:val="24"/>
              </w:rPr>
              <w:t>]</w:t>
            </w:r>
            <w:r>
              <w:rPr>
                <w:rFonts w:ascii="Times New Roman" w:hAnsi="Times New Roman"/>
                <w:color w:val="333333"/>
                <w:kern w:val="0"/>
                <w:sz w:val="24"/>
                <w:szCs w:val="24"/>
              </w:rPr>
              <w:t>%</w:t>
            </w:r>
            <w:r>
              <w:rPr>
                <w:rFonts w:ascii="Times New Roman" w:hAnsi="Times New Roman" w:hint="eastAsia"/>
                <w:color w:val="333333"/>
                <w:kern w:val="0"/>
                <w:sz w:val="24"/>
                <w:szCs w:val="24"/>
              </w:rPr>
              <w:t>；合计：</w:t>
            </w:r>
            <w:r w:rsidR="00AE77B1">
              <w:rPr>
                <w:rFonts w:ascii="Times New Roman" w:hAnsi="Times New Roman" w:hint="eastAsia"/>
                <w:color w:val="333333"/>
                <w:kern w:val="0"/>
                <w:sz w:val="24"/>
                <w:szCs w:val="24"/>
              </w:rPr>
              <w:t>[</w:t>
            </w:r>
            <w:r>
              <w:rPr>
                <w:rFonts w:ascii="Times New Roman" w:hAnsi="Times New Roman" w:hint="eastAsia"/>
                <w:color w:val="333333"/>
                <w:kern w:val="0"/>
                <w:sz w:val="24"/>
                <w:szCs w:val="24"/>
              </w:rPr>
              <w:t>5</w:t>
            </w:r>
            <w:r>
              <w:rPr>
                <w:rFonts w:ascii="Times New Roman" w:hAnsi="Times New Roman"/>
                <w:color w:val="333333"/>
                <w:kern w:val="0"/>
                <w:sz w:val="24"/>
                <w:szCs w:val="24"/>
              </w:rPr>
              <w:t>-10</w:t>
            </w:r>
            <w:r w:rsidR="00AE77B1">
              <w:rPr>
                <w:rFonts w:ascii="Times New Roman" w:hAnsi="Times New Roman"/>
                <w:color w:val="333333"/>
                <w:kern w:val="0"/>
                <w:sz w:val="24"/>
                <w:szCs w:val="24"/>
              </w:rPr>
              <w:t>]</w:t>
            </w:r>
            <w:r>
              <w:rPr>
                <w:rFonts w:ascii="Times New Roman" w:hAnsi="Times New Roman"/>
                <w:color w:val="333333"/>
                <w:kern w:val="0"/>
                <w:sz w:val="24"/>
                <w:szCs w:val="24"/>
              </w:rPr>
              <w:t>%</w:t>
            </w:r>
          </w:p>
        </w:tc>
      </w:tr>
    </w:tbl>
    <w:p w14:paraId="05A9DFB2" w14:textId="77777777" w:rsidR="00E309B0" w:rsidRDefault="00E309B0"/>
    <w:sectPr w:rsidR="00E309B0" w:rsidSect="00F7089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B4703" w14:textId="77777777" w:rsidR="001852A3" w:rsidRDefault="001852A3" w:rsidP="00401F75">
      <w:r>
        <w:separator/>
      </w:r>
    </w:p>
  </w:endnote>
  <w:endnote w:type="continuationSeparator" w:id="0">
    <w:p w14:paraId="77A2801C" w14:textId="77777777" w:rsidR="001852A3" w:rsidRDefault="001852A3" w:rsidP="00401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EB161" w14:textId="77777777" w:rsidR="001852A3" w:rsidRDefault="001852A3" w:rsidP="00401F75">
      <w:r>
        <w:separator/>
      </w:r>
    </w:p>
  </w:footnote>
  <w:footnote w:type="continuationSeparator" w:id="0">
    <w:p w14:paraId="08934158" w14:textId="77777777" w:rsidR="001852A3" w:rsidRDefault="001852A3" w:rsidP="00401F7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EBCF4554"/>
    <w:rsid w:val="BDFFCDCA"/>
    <w:rsid w:val="EBCF4554"/>
    <w:rsid w:val="00015B19"/>
    <w:rsid w:val="00042556"/>
    <w:rsid w:val="00042C1B"/>
    <w:rsid w:val="000761D0"/>
    <w:rsid w:val="000C2D25"/>
    <w:rsid w:val="001852A3"/>
    <w:rsid w:val="002B4044"/>
    <w:rsid w:val="00303E0A"/>
    <w:rsid w:val="00371DBB"/>
    <w:rsid w:val="003A509C"/>
    <w:rsid w:val="00401F75"/>
    <w:rsid w:val="004253B4"/>
    <w:rsid w:val="004C72CD"/>
    <w:rsid w:val="00501950"/>
    <w:rsid w:val="00532010"/>
    <w:rsid w:val="00617132"/>
    <w:rsid w:val="00687B3B"/>
    <w:rsid w:val="00736B12"/>
    <w:rsid w:val="00765E47"/>
    <w:rsid w:val="0080043B"/>
    <w:rsid w:val="008162AA"/>
    <w:rsid w:val="008D2D67"/>
    <w:rsid w:val="008F1C5E"/>
    <w:rsid w:val="009A796E"/>
    <w:rsid w:val="009F6A9E"/>
    <w:rsid w:val="00A50E73"/>
    <w:rsid w:val="00A659B0"/>
    <w:rsid w:val="00AC56AB"/>
    <w:rsid w:val="00AD2315"/>
    <w:rsid w:val="00AE77B1"/>
    <w:rsid w:val="00AF352A"/>
    <w:rsid w:val="00BE36F7"/>
    <w:rsid w:val="00BF78F0"/>
    <w:rsid w:val="00D272A4"/>
    <w:rsid w:val="00E011B9"/>
    <w:rsid w:val="00E309B0"/>
    <w:rsid w:val="00F70895"/>
    <w:rsid w:val="00F72DB9"/>
    <w:rsid w:val="00F830A9"/>
    <w:rsid w:val="5BEC283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776B19"/>
  <w15:docId w15:val="{2C0E87D1-C52D-4FD6-A76F-300B48C60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70895"/>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70895"/>
    <w:pPr>
      <w:ind w:firstLineChars="200" w:firstLine="420"/>
    </w:pPr>
  </w:style>
  <w:style w:type="paragraph" w:styleId="a4">
    <w:name w:val="header"/>
    <w:basedOn w:val="a"/>
    <w:link w:val="a5"/>
    <w:rsid w:val="00401F75"/>
    <w:pPr>
      <w:tabs>
        <w:tab w:val="center" w:pos="4153"/>
        <w:tab w:val="right" w:pos="8306"/>
      </w:tabs>
      <w:snapToGrid w:val="0"/>
      <w:jc w:val="center"/>
    </w:pPr>
    <w:rPr>
      <w:sz w:val="18"/>
      <w:szCs w:val="18"/>
    </w:rPr>
  </w:style>
  <w:style w:type="character" w:customStyle="1" w:styleId="a5">
    <w:name w:val="页眉 字符"/>
    <w:basedOn w:val="a0"/>
    <w:link w:val="a4"/>
    <w:rsid w:val="00401F75"/>
    <w:rPr>
      <w:rFonts w:ascii="Calibri" w:eastAsia="宋体" w:hAnsi="Calibri" w:cs="Times New Roman"/>
      <w:kern w:val="2"/>
      <w:sz w:val="18"/>
      <w:szCs w:val="18"/>
    </w:rPr>
  </w:style>
  <w:style w:type="paragraph" w:styleId="a6">
    <w:name w:val="footer"/>
    <w:basedOn w:val="a"/>
    <w:link w:val="a7"/>
    <w:rsid w:val="00401F75"/>
    <w:pPr>
      <w:tabs>
        <w:tab w:val="center" w:pos="4153"/>
        <w:tab w:val="right" w:pos="8306"/>
      </w:tabs>
      <w:snapToGrid w:val="0"/>
      <w:jc w:val="left"/>
    </w:pPr>
    <w:rPr>
      <w:sz w:val="18"/>
      <w:szCs w:val="18"/>
    </w:rPr>
  </w:style>
  <w:style w:type="character" w:customStyle="1" w:styleId="a7">
    <w:name w:val="页脚 字符"/>
    <w:basedOn w:val="a0"/>
    <w:link w:val="a6"/>
    <w:rsid w:val="00401F75"/>
    <w:rPr>
      <w:rFonts w:ascii="Calibri" w:eastAsia="宋体" w:hAnsi="Calibri" w:cs="Times New Roman"/>
      <w:kern w:val="2"/>
      <w:sz w:val="18"/>
      <w:szCs w:val="18"/>
    </w:rPr>
  </w:style>
  <w:style w:type="paragraph" w:styleId="a8">
    <w:name w:val="Revision"/>
    <w:hidden/>
    <w:uiPriority w:val="99"/>
    <w:unhideWhenUsed/>
    <w:rsid w:val="00F830A9"/>
    <w:rPr>
      <w:rFonts w:ascii="Calibri" w:eastAsia="宋体" w:hAnsi="Calibri" w:cs="Times New Roman"/>
      <w:kern w:val="2"/>
      <w:sz w:val="21"/>
      <w:szCs w:val="22"/>
    </w:rPr>
  </w:style>
  <w:style w:type="paragraph" w:styleId="a9">
    <w:name w:val="Balloon Text"/>
    <w:basedOn w:val="a"/>
    <w:link w:val="aa"/>
    <w:rsid w:val="00303E0A"/>
    <w:rPr>
      <w:sz w:val="18"/>
      <w:szCs w:val="18"/>
    </w:rPr>
  </w:style>
  <w:style w:type="character" w:customStyle="1" w:styleId="aa">
    <w:name w:val="批注框文本 字符"/>
    <w:basedOn w:val="a0"/>
    <w:link w:val="a9"/>
    <w:rsid w:val="00303E0A"/>
    <w:rPr>
      <w:rFonts w:ascii="Calibri" w:eastAsia="宋体" w:hAnsi="Calibri"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1</Pages>
  <Words>114</Words>
  <Characters>653</Characters>
  <Application>Microsoft Office Word</Application>
  <DocSecurity>0</DocSecurity>
  <Lines>5</Lines>
  <Paragraphs>1</Paragraphs>
  <ScaleCrop>false</ScaleCrop>
  <Company/>
  <LinksUpToDate>false</LinksUpToDate>
  <CharactersWithSpaces>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王雪祺</dc:creator>
  <cp:lastModifiedBy>TS-ZJY</cp:lastModifiedBy>
  <cp:revision>18</cp:revision>
  <dcterms:created xsi:type="dcterms:W3CDTF">2023-07-26T20:44:00Z</dcterms:created>
  <dcterms:modified xsi:type="dcterms:W3CDTF">2023-12-27T09:00:00Z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ICV">
    <vt:lpwstr>8A7F40BAE77F4AF5EA19C1644D2600F7_43</vt:lpwstr>
  </property>
</Properties>
</file>