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before="0" w:beforeAutospacing="0" w:after="0"/>
        <w:jc w:val="center"/>
        <w:rPr>
          <w:rFonts w:ascii="Times New Roman" w:hAnsi="Times New Roman" w:eastAsia="方正小标宋简体" w:cs="Times New Roman"/>
          <w:kern w:val="2"/>
          <w:sz w:val="44"/>
          <w:szCs w:val="36"/>
          <w:lang w:val="en-US" w:eastAsia="zh-CN" w:bidi="ar-SA"/>
        </w:rPr>
      </w:pPr>
      <w:r>
        <w:rPr>
          <w:rFonts w:hint="eastAsia" w:ascii="黑体" w:hAnsi="黑体" w:eastAsia="黑体" w:cs="黑体"/>
          <w:bCs/>
          <w:kern w:val="2"/>
          <w:sz w:val="36"/>
          <w:szCs w:val="36"/>
          <w:lang w:val="en-US" w:eastAsia="zh-CN"/>
        </w:rPr>
        <w:t xml:space="preserve">   </w:t>
      </w:r>
      <w:r>
        <w:rPr>
          <w:rFonts w:ascii="Times New Roman" w:hAnsi="Times New Roman" w:eastAsia="方正小标宋简体" w:cs="Times New Roman"/>
          <w:kern w:val="2"/>
          <w:sz w:val="44"/>
          <w:szCs w:val="36"/>
          <w:lang w:val="en-US" w:eastAsia="zh-CN" w:bidi="ar-SA"/>
        </w:rPr>
        <w:t>经营者集中简易案件公示表</w:t>
      </w:r>
    </w:p>
    <w:tbl>
      <w:tblPr>
        <w:tblStyle w:val="7"/>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727"/>
        <w:gridCol w:w="5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trPr>
        <w:tc>
          <w:tcPr>
            <w:tcW w:w="1940" w:type="dxa"/>
            <w:shd w:val="clear" w:color="auto" w:fill="D9D9D9"/>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案件名称</w:t>
            </w:r>
          </w:p>
        </w:tc>
        <w:tc>
          <w:tcPr>
            <w:tcW w:w="7700" w:type="dxa"/>
            <w:gridSpan w:val="2"/>
            <w:noWrap w:val="0"/>
            <w:vAlign w:val="center"/>
          </w:tcPr>
          <w:p>
            <w:pPr>
              <w:widowControl w:val="0"/>
              <w:autoSpaceDE w:val="0"/>
              <w:adjustRightInd w:val="0"/>
              <w:snapToGrid w:val="0"/>
              <w:spacing w:before="0" w:beforeAutospacing="0" w:after="0"/>
              <w:rPr>
                <w:rFonts w:hint="eastAsia" w:ascii="宋体" w:hAnsi="宋体" w:eastAsia="宋体" w:cs="宋体"/>
                <w:kern w:val="2"/>
                <w:sz w:val="21"/>
                <w:szCs w:val="21"/>
                <w:lang w:val="en-US"/>
              </w:rPr>
            </w:pPr>
            <w:r>
              <w:rPr>
                <w:rFonts w:hint="eastAsia" w:ascii="Times New Roman" w:hAnsi="Times New Roman" w:cs="Times New Roman"/>
                <w:kern w:val="2"/>
                <w:sz w:val="21"/>
                <w:szCs w:val="21"/>
              </w:rPr>
              <w:t>北新集团建材股份有限公司收购嘉宝莉化工集团股份有限公司股权案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trPr>
        <w:tc>
          <w:tcPr>
            <w:tcW w:w="1940" w:type="dxa"/>
            <w:shd w:val="clear" w:color="auto" w:fill="D9D9D9"/>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交易概况（限200字内）</w:t>
            </w:r>
          </w:p>
        </w:tc>
        <w:tc>
          <w:tcPr>
            <w:tcW w:w="7700" w:type="dxa"/>
            <w:gridSpan w:val="2"/>
            <w:noWrap w:val="0"/>
            <w:vAlign w:val="center"/>
          </w:tcPr>
          <w:p>
            <w:pPr>
              <w:widowControl w:val="0"/>
              <w:spacing w:before="0" w:beforeAutospacing="0" w:after="0"/>
              <w:rPr>
                <w:rFonts w:hint="eastAsia" w:ascii="宋体" w:hAnsi="宋体" w:eastAsia="宋体" w:cs="宋体"/>
                <w:kern w:val="2"/>
                <w:sz w:val="21"/>
                <w:szCs w:val="21"/>
                <w:lang w:val="en-US"/>
              </w:rPr>
            </w:pPr>
            <w:r>
              <w:rPr>
                <w:rFonts w:hint="eastAsia" w:ascii="Times New Roman" w:hAnsi="Times New Roman" w:cs="Times New Roman"/>
                <w:kern w:val="2"/>
                <w:sz w:val="21"/>
                <w:szCs w:val="21"/>
              </w:rPr>
              <w:t>北新集团建材股份有限公司</w:t>
            </w:r>
            <w:r>
              <w:rPr>
                <w:rFonts w:hint="eastAsia" w:ascii="宋体" w:hAnsi="宋体" w:cs="宋体"/>
                <w:kern w:val="2"/>
                <w:sz w:val="21"/>
                <w:szCs w:val="21"/>
              </w:rPr>
              <w:t>（</w:t>
            </w:r>
            <w:r>
              <w:rPr>
                <w:rFonts w:hint="eastAsia" w:ascii="宋体" w:hAnsi="宋体" w:cs="宋体"/>
                <w:b/>
                <w:bCs/>
                <w:kern w:val="2"/>
                <w:sz w:val="21"/>
                <w:szCs w:val="21"/>
              </w:rPr>
              <w:t>北新建材</w:t>
            </w:r>
            <w:r>
              <w:rPr>
                <w:rFonts w:hint="eastAsia" w:ascii="宋体" w:hAnsi="宋体" w:cs="宋体"/>
                <w:kern w:val="2"/>
                <w:sz w:val="21"/>
                <w:szCs w:val="21"/>
              </w:rPr>
              <w:t>）与世骏（香港）有限公司等12名转让方签署协议，拟受让该</w:t>
            </w:r>
            <w:r>
              <w:rPr>
                <w:rFonts w:ascii="宋体" w:hAnsi="宋体" w:cs="宋体"/>
                <w:kern w:val="2"/>
                <w:sz w:val="21"/>
                <w:szCs w:val="21"/>
              </w:rPr>
              <w:t>12</w:t>
            </w:r>
            <w:r>
              <w:rPr>
                <w:rFonts w:hint="eastAsia" w:ascii="宋体" w:hAnsi="宋体" w:cs="宋体"/>
                <w:kern w:val="2"/>
                <w:sz w:val="21"/>
                <w:szCs w:val="21"/>
              </w:rPr>
              <w:t>名转让方持有的</w:t>
            </w:r>
            <w:r>
              <w:rPr>
                <w:rFonts w:hint="eastAsia" w:ascii="Times New Roman" w:hAnsi="Times New Roman" w:cs="Times New Roman"/>
                <w:kern w:val="2"/>
                <w:sz w:val="21"/>
                <w:szCs w:val="21"/>
              </w:rPr>
              <w:t>嘉宝莉化工集团股份有限公司</w:t>
            </w:r>
            <w:r>
              <w:rPr>
                <w:rFonts w:hint="eastAsia" w:ascii="宋体" w:hAnsi="宋体" w:cs="宋体"/>
                <w:kern w:val="2"/>
                <w:sz w:val="21"/>
                <w:szCs w:val="21"/>
              </w:rPr>
              <w:t>（</w:t>
            </w:r>
            <w:r>
              <w:rPr>
                <w:rFonts w:hint="eastAsia" w:ascii="宋体" w:hAnsi="宋体" w:cs="宋体"/>
                <w:b/>
                <w:bCs/>
                <w:kern w:val="2"/>
                <w:sz w:val="21"/>
                <w:szCs w:val="21"/>
              </w:rPr>
              <w:t>嘉宝莉</w:t>
            </w:r>
            <w:r>
              <w:rPr>
                <w:rFonts w:hint="eastAsia" w:ascii="宋体" w:hAnsi="宋体" w:cs="宋体"/>
                <w:kern w:val="2"/>
                <w:sz w:val="21"/>
                <w:szCs w:val="21"/>
              </w:rPr>
              <w:t>）</w:t>
            </w:r>
            <w:r>
              <w:rPr>
                <w:rFonts w:ascii="宋体" w:hAnsi="宋体" w:cs="宋体"/>
                <w:kern w:val="2"/>
                <w:sz w:val="21"/>
                <w:szCs w:val="21"/>
              </w:rPr>
              <w:t>78.34%</w:t>
            </w:r>
            <w:r>
              <w:rPr>
                <w:rFonts w:hint="eastAsia" w:ascii="宋体" w:hAnsi="宋体" w:cs="宋体"/>
                <w:kern w:val="2"/>
                <w:sz w:val="21"/>
                <w:szCs w:val="21"/>
              </w:rPr>
              <w:t>股份，</w:t>
            </w:r>
            <w:r>
              <w:rPr>
                <w:rFonts w:hint="eastAsia" w:ascii="宋体" w:hAnsi="宋体" w:cs="宋体"/>
                <w:b/>
                <w:bCs/>
                <w:kern w:val="2"/>
                <w:sz w:val="21"/>
                <w:szCs w:val="21"/>
              </w:rPr>
              <w:t>嘉宝莉</w:t>
            </w:r>
            <w:r>
              <w:rPr>
                <w:rFonts w:hint="eastAsia" w:ascii="宋体" w:hAnsi="宋体" w:cs="宋体"/>
                <w:kern w:val="2"/>
                <w:sz w:val="21"/>
                <w:szCs w:val="21"/>
              </w:rPr>
              <w:t>主要从事涂料产品的生产与销售。交易前，仇启明</w:t>
            </w:r>
            <w:r>
              <w:rPr>
                <w:rFonts w:hint="eastAsia" w:ascii="宋体" w:hAnsi="宋体" w:cs="宋体"/>
                <w:kern w:val="2"/>
                <w:sz w:val="21"/>
                <w:szCs w:val="21"/>
                <w:lang w:eastAsia="zh-CN"/>
              </w:rPr>
              <w:t>家族</w:t>
            </w:r>
            <w:r>
              <w:rPr>
                <w:rFonts w:hint="eastAsia" w:ascii="宋体" w:hAnsi="宋体" w:cs="宋体"/>
                <w:kern w:val="2"/>
                <w:sz w:val="21"/>
                <w:szCs w:val="21"/>
              </w:rPr>
              <w:t>三名自然人合计</w:t>
            </w:r>
            <w:r>
              <w:rPr>
                <w:rFonts w:hint="eastAsia" w:ascii="宋体" w:hAnsi="宋体" w:cs="宋体"/>
                <w:kern w:val="2"/>
                <w:sz w:val="21"/>
                <w:szCs w:val="21"/>
                <w:lang w:eastAsia="zh-CN"/>
              </w:rPr>
              <w:t>持有</w:t>
            </w:r>
            <w:r>
              <w:rPr>
                <w:rFonts w:hint="eastAsia" w:ascii="宋体" w:hAnsi="宋体" w:cs="宋体"/>
                <w:kern w:val="2"/>
                <w:sz w:val="21"/>
                <w:szCs w:val="21"/>
              </w:rPr>
              <w:t>嘉宝莉</w:t>
            </w:r>
            <w:r>
              <w:rPr>
                <w:rFonts w:ascii="宋体" w:hAnsi="宋体" w:cs="宋体"/>
                <w:kern w:val="2"/>
                <w:sz w:val="21"/>
                <w:szCs w:val="21"/>
              </w:rPr>
              <w:t>53.86%</w:t>
            </w:r>
            <w:r>
              <w:rPr>
                <w:rFonts w:hint="eastAsia" w:ascii="宋体" w:hAnsi="宋体" w:cs="宋体"/>
                <w:kern w:val="2"/>
                <w:sz w:val="21"/>
                <w:szCs w:val="21"/>
              </w:rPr>
              <w:t>股份，单独控制嘉宝莉；交易后，北新建材将持有嘉宝莉</w:t>
            </w:r>
            <w:r>
              <w:rPr>
                <w:rFonts w:ascii="宋体" w:hAnsi="宋体" w:cs="宋体"/>
                <w:kern w:val="2"/>
                <w:sz w:val="21"/>
                <w:szCs w:val="21"/>
              </w:rPr>
              <w:t>78.34%</w:t>
            </w:r>
            <w:r>
              <w:rPr>
                <w:rFonts w:hint="eastAsia" w:ascii="宋体" w:hAnsi="宋体" w:cs="宋体"/>
                <w:kern w:val="2"/>
                <w:sz w:val="21"/>
                <w:szCs w:val="21"/>
              </w:rPr>
              <w:t>股份，单独控制嘉宝莉。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参与集中的经营者简介（每个限100字以内）</w:t>
            </w:r>
          </w:p>
        </w:tc>
        <w:tc>
          <w:tcPr>
            <w:tcW w:w="1727" w:type="dxa"/>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1.</w:t>
            </w:r>
            <w:r>
              <w:rPr>
                <w:rFonts w:ascii="Times New Roman" w:hAnsi="Times New Roman" w:eastAsia="宋体" w:cs="Times New Roman"/>
                <w:color w:val="000000"/>
                <w:kern w:val="2"/>
                <w:sz w:val="21"/>
                <w:szCs w:val="21"/>
                <w:lang w:val="en-US" w:eastAsia="zh-Hans" w:bidi="ar-SA"/>
              </w:rPr>
              <w:t xml:space="preserve"> 北新建材</w:t>
            </w:r>
          </w:p>
        </w:tc>
        <w:tc>
          <w:tcPr>
            <w:tcW w:w="5973" w:type="dxa"/>
            <w:noWrap w:val="0"/>
            <w:vAlign w:val="center"/>
          </w:tcPr>
          <w:p>
            <w:pPr>
              <w:widowControl w:val="0"/>
              <w:snapToGrid w:val="0"/>
              <w:spacing w:before="0" w:beforeAutospacing="0" w:after="0"/>
              <w:rPr>
                <w:rFonts w:ascii="Times New Roman" w:hAnsi="Times New Roman" w:cs="Times New Roman"/>
                <w:kern w:val="2"/>
                <w:sz w:val="21"/>
                <w:szCs w:val="21"/>
              </w:rPr>
            </w:pPr>
            <w:r>
              <w:rPr>
                <w:rFonts w:hint="eastAsia" w:ascii="Times New Roman" w:hAnsi="Times New Roman" w:cs="Times New Roman"/>
                <w:kern w:val="2"/>
                <w:sz w:val="21"/>
                <w:szCs w:val="21"/>
              </w:rPr>
              <w:t>北新建材于1</w:t>
            </w:r>
            <w:r>
              <w:rPr>
                <w:rFonts w:ascii="Times New Roman" w:hAnsi="Times New Roman" w:cs="Times New Roman"/>
                <w:kern w:val="2"/>
                <w:sz w:val="21"/>
                <w:szCs w:val="21"/>
              </w:rPr>
              <w:t>997</w:t>
            </w:r>
            <w:r>
              <w:rPr>
                <w:rFonts w:hint="eastAsia" w:ascii="Times New Roman" w:hAnsi="Times New Roman" w:cs="Times New Roman"/>
                <w:kern w:val="2"/>
                <w:sz w:val="21"/>
                <w:szCs w:val="21"/>
              </w:rPr>
              <w:t>年5月3</w:t>
            </w:r>
            <w:r>
              <w:rPr>
                <w:rFonts w:ascii="Times New Roman" w:hAnsi="Times New Roman" w:cs="Times New Roman"/>
                <w:kern w:val="2"/>
                <w:sz w:val="21"/>
                <w:szCs w:val="21"/>
              </w:rPr>
              <w:t>0</w:t>
            </w:r>
            <w:r>
              <w:rPr>
                <w:rFonts w:hint="eastAsia" w:ascii="Times New Roman" w:hAnsi="Times New Roman" w:cs="Times New Roman"/>
                <w:kern w:val="2"/>
                <w:sz w:val="21"/>
                <w:szCs w:val="21"/>
              </w:rPr>
              <w:t>日成立于北京市，系深交所上市公司，公司主要从事石膏板、防水材料、涂料三大板块业务。</w:t>
            </w:r>
          </w:p>
          <w:p>
            <w:pPr>
              <w:widowControl w:val="0"/>
              <w:snapToGrid w:val="0"/>
              <w:spacing w:before="0" w:beforeAutospacing="0" w:after="0"/>
              <w:rPr>
                <w:rFonts w:hint="eastAsia" w:ascii="宋体" w:hAnsi="宋体" w:eastAsia="宋体" w:cs="宋体"/>
                <w:kern w:val="2"/>
                <w:sz w:val="21"/>
                <w:szCs w:val="21"/>
              </w:rPr>
            </w:pPr>
            <w:r>
              <w:rPr>
                <w:rFonts w:ascii="Times New Roman" w:hAnsi="Times New Roman" w:cs="Times New Roman"/>
                <w:kern w:val="2"/>
                <w:sz w:val="21"/>
                <w:szCs w:val="21"/>
              </w:rPr>
              <w:t>北新建材的最终控制人是</w:t>
            </w:r>
            <w:r>
              <w:rPr>
                <w:rFonts w:hint="eastAsia" w:ascii="Times New Roman" w:hAnsi="Times New Roman" w:cs="Times New Roman"/>
                <w:kern w:val="2"/>
                <w:sz w:val="21"/>
                <w:szCs w:val="21"/>
              </w:rPr>
              <w:t>中国建材集团有限公司，主要从事包括基础建材、新材料及工程技术服务三大板块业务。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widowControl w:val="0"/>
              <w:spacing w:before="0" w:beforeAutospacing="0" w:after="0"/>
              <w:jc w:val="left"/>
              <w:rPr>
                <w:rFonts w:hint="eastAsia" w:ascii="宋体" w:hAnsi="宋体" w:eastAsia="宋体" w:cs="宋体"/>
                <w:kern w:val="2"/>
                <w:sz w:val="21"/>
                <w:szCs w:val="21"/>
                <w:lang w:val="en-US"/>
              </w:rPr>
            </w:pPr>
          </w:p>
        </w:tc>
        <w:tc>
          <w:tcPr>
            <w:tcW w:w="1727" w:type="dxa"/>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2.</w:t>
            </w:r>
            <w:r>
              <w:rPr>
                <w:rFonts w:ascii="Times New Roman" w:hAnsi="Times New Roman" w:eastAsia="宋体" w:cs="Times New Roman"/>
                <w:color w:val="000000"/>
                <w:kern w:val="2"/>
                <w:sz w:val="21"/>
                <w:szCs w:val="21"/>
                <w:lang w:val="en-US" w:eastAsia="zh-Hans" w:bidi="ar-SA"/>
              </w:rPr>
              <w:t xml:space="preserve"> </w:t>
            </w:r>
            <w:r>
              <w:rPr>
                <w:rFonts w:hint="eastAsia" w:ascii="Times New Roman" w:hAnsi="Times New Roman" w:eastAsia="宋体" w:cs="Times New Roman"/>
                <w:kern w:val="2"/>
                <w:sz w:val="21"/>
                <w:szCs w:val="21"/>
                <w:lang w:val="en-US" w:eastAsia="zh-CN" w:bidi="ar-SA"/>
              </w:rPr>
              <w:t>嘉宝莉</w:t>
            </w:r>
          </w:p>
        </w:tc>
        <w:tc>
          <w:tcPr>
            <w:tcW w:w="5973" w:type="dxa"/>
            <w:noWrap w:val="0"/>
            <w:vAlign w:val="center"/>
          </w:tcPr>
          <w:p>
            <w:pPr>
              <w:widowControl w:val="0"/>
              <w:snapToGrid w:val="0"/>
              <w:spacing w:before="0" w:beforeAutospacing="0" w:after="0"/>
              <w:rPr>
                <w:rFonts w:ascii="Times New Roman" w:hAnsi="Times New Roman" w:cs="Times New Roman"/>
                <w:kern w:val="2"/>
                <w:sz w:val="21"/>
                <w:szCs w:val="21"/>
              </w:rPr>
            </w:pPr>
            <w:r>
              <w:rPr>
                <w:rFonts w:hint="eastAsia" w:ascii="Times New Roman" w:hAnsi="Times New Roman" w:cs="Times New Roman"/>
                <w:kern w:val="2"/>
                <w:sz w:val="21"/>
                <w:szCs w:val="21"/>
              </w:rPr>
              <w:t>嘉宝莉于199</w:t>
            </w:r>
            <w:r>
              <w:rPr>
                <w:rFonts w:ascii="Times New Roman" w:hAnsi="Times New Roman" w:cs="Times New Roman"/>
                <w:kern w:val="2"/>
                <w:sz w:val="21"/>
                <w:szCs w:val="21"/>
              </w:rPr>
              <w:t>9</w:t>
            </w:r>
            <w:r>
              <w:rPr>
                <w:rFonts w:hint="eastAsia" w:ascii="Times New Roman" w:hAnsi="Times New Roman" w:cs="Times New Roman"/>
                <w:kern w:val="2"/>
                <w:sz w:val="21"/>
                <w:szCs w:val="21"/>
              </w:rPr>
              <w:t>年1</w:t>
            </w:r>
            <w:r>
              <w:rPr>
                <w:rFonts w:ascii="Times New Roman" w:hAnsi="Times New Roman" w:cs="Times New Roman"/>
                <w:kern w:val="2"/>
                <w:sz w:val="21"/>
                <w:szCs w:val="21"/>
              </w:rPr>
              <w:t>0</w:t>
            </w:r>
            <w:r>
              <w:rPr>
                <w:rFonts w:hint="eastAsia" w:ascii="Times New Roman" w:hAnsi="Times New Roman" w:cs="Times New Roman"/>
                <w:kern w:val="2"/>
                <w:sz w:val="21"/>
                <w:szCs w:val="21"/>
              </w:rPr>
              <w:t>月2</w:t>
            </w:r>
            <w:r>
              <w:rPr>
                <w:rFonts w:ascii="Times New Roman" w:hAnsi="Times New Roman" w:cs="Times New Roman"/>
                <w:kern w:val="2"/>
                <w:sz w:val="21"/>
                <w:szCs w:val="21"/>
              </w:rPr>
              <w:t>8</w:t>
            </w:r>
            <w:r>
              <w:rPr>
                <w:rFonts w:hint="eastAsia" w:ascii="Times New Roman" w:hAnsi="Times New Roman" w:cs="Times New Roman"/>
                <w:kern w:val="2"/>
                <w:sz w:val="21"/>
                <w:szCs w:val="21"/>
              </w:rPr>
              <w:t>日成立于广东，主要业务为涂料产品的生产与销售。</w:t>
            </w:r>
          </w:p>
          <w:p>
            <w:pPr>
              <w:widowControl w:val="0"/>
              <w:snapToGrid w:val="0"/>
              <w:spacing w:before="0" w:beforeAutospacing="0" w:after="0"/>
              <w:rPr>
                <w:rFonts w:hint="eastAsia" w:ascii="宋体" w:hAnsi="宋体" w:eastAsia="宋体" w:cs="宋体"/>
                <w:kern w:val="2"/>
                <w:sz w:val="21"/>
                <w:szCs w:val="21"/>
                <w:lang w:val="en-US" w:eastAsia="zh-CN"/>
              </w:rPr>
            </w:pPr>
            <w:r>
              <w:rPr>
                <w:rFonts w:hint="eastAsia" w:ascii="Times New Roman" w:hAnsi="Times New Roman" w:cs="Times New Roman"/>
                <w:kern w:val="2"/>
                <w:sz w:val="21"/>
                <w:szCs w:val="21"/>
              </w:rPr>
              <w:t>嘉宝莉</w:t>
            </w:r>
            <w:r>
              <w:rPr>
                <w:rFonts w:ascii="Times New Roman" w:hAnsi="Times New Roman" w:cs="Times New Roman"/>
                <w:bCs/>
                <w:color w:val="000000"/>
                <w:kern w:val="2"/>
                <w:sz w:val="21"/>
                <w:szCs w:val="21"/>
              </w:rPr>
              <w:t>的最终控制人</w:t>
            </w:r>
            <w:r>
              <w:rPr>
                <w:rFonts w:hint="eastAsia" w:ascii="宋体" w:hAnsi="宋体" w:cs="宋体"/>
                <w:kern w:val="2"/>
                <w:sz w:val="21"/>
                <w:szCs w:val="21"/>
              </w:rPr>
              <w:t>为仇启明</w:t>
            </w:r>
            <w:r>
              <w:rPr>
                <w:rFonts w:hint="eastAsia" w:ascii="宋体" w:hAnsi="宋体" w:cs="宋体"/>
                <w:kern w:val="2"/>
                <w:sz w:val="21"/>
                <w:szCs w:val="21"/>
                <w:lang w:eastAsia="zh-CN"/>
              </w:rPr>
              <w:t>家族</w:t>
            </w:r>
            <w:r>
              <w:rPr>
                <w:rFonts w:hint="eastAsia" w:ascii="宋体" w:hAnsi="宋体" w:cs="宋体"/>
                <w:kern w:val="2"/>
                <w:sz w:val="21"/>
                <w:szCs w:val="21"/>
              </w:rPr>
              <w:t>，主要通过嘉宝莉开展涂料业务。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简易案件理由（可以单选，也可以多选）</w:t>
            </w:r>
          </w:p>
        </w:tc>
        <w:tc>
          <w:tcPr>
            <w:tcW w:w="7700" w:type="dxa"/>
            <w:gridSpan w:val="2"/>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kern w:val="2"/>
                <w:sz w:val="21"/>
                <w:szCs w:val="21"/>
                <w:lang w:val="en-GB" w:eastAsia="zh-CN" w:bidi="ar-SA"/>
              </w:rPr>
              <w:sym w:font="Wingdings" w:char="00FE"/>
            </w:r>
            <w:r>
              <w:rPr>
                <w:rFonts w:ascii="Times New Roman" w:hAnsi="Times New Roman" w:eastAsia="宋体" w:cs="Times New Roman"/>
                <w:kern w:val="2"/>
                <w:sz w:val="21"/>
                <w:szCs w:val="21"/>
                <w:lang w:val="en-GB" w:eastAsia="zh-CN" w:bidi="ar-SA"/>
              </w:rPr>
              <w:t xml:space="preserve"> </w:t>
            </w:r>
            <w:r>
              <w:rPr>
                <w:rFonts w:ascii="Times New Roman" w:hAnsi="Times New Roman" w:eastAsia="宋体" w:cs="Times New Roman"/>
                <w:bCs/>
                <w:color w:val="000000"/>
                <w:kern w:val="2"/>
                <w:sz w:val="21"/>
                <w:szCs w:val="21"/>
                <w:lang w:val="en-US" w:eastAsia="zh-CN" w:bidi="ar-SA"/>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widowControl w:val="0"/>
              <w:spacing w:before="0" w:beforeAutospacing="0" w:after="0"/>
              <w:jc w:val="left"/>
              <w:rPr>
                <w:rFonts w:hint="eastAsia" w:ascii="宋体" w:hAnsi="宋体" w:eastAsia="宋体" w:cs="宋体"/>
                <w:kern w:val="2"/>
                <w:sz w:val="21"/>
                <w:szCs w:val="21"/>
                <w:lang w:val="en-US"/>
              </w:rPr>
            </w:pPr>
          </w:p>
        </w:tc>
        <w:tc>
          <w:tcPr>
            <w:tcW w:w="7700" w:type="dxa"/>
            <w:gridSpan w:val="2"/>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kern w:val="2"/>
                <w:sz w:val="21"/>
                <w:szCs w:val="21"/>
                <w:lang w:val="en-GB" w:eastAsia="zh-CN" w:bidi="ar-SA"/>
              </w:rPr>
              <w:sym w:font="Wingdings" w:char="F0A8"/>
            </w:r>
            <w:r>
              <w:rPr>
                <w:rFonts w:ascii="Times New Roman" w:hAnsi="Times New Roman" w:eastAsia="宋体" w:cs="Times New Roman"/>
                <w:bCs/>
                <w:color w:val="000000"/>
                <w:kern w:val="2"/>
                <w:sz w:val="21"/>
                <w:szCs w:val="21"/>
                <w:lang w:val="en-US" w:eastAsia="zh-CN" w:bidi="ar-SA"/>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widowControl w:val="0"/>
              <w:spacing w:before="0" w:beforeAutospacing="0" w:after="0"/>
              <w:jc w:val="left"/>
              <w:rPr>
                <w:rFonts w:hint="eastAsia" w:ascii="宋体" w:hAnsi="宋体" w:eastAsia="宋体" w:cs="宋体"/>
                <w:kern w:val="2"/>
                <w:sz w:val="21"/>
                <w:szCs w:val="21"/>
                <w:lang w:val="en-US"/>
              </w:rPr>
            </w:pPr>
          </w:p>
        </w:tc>
        <w:tc>
          <w:tcPr>
            <w:tcW w:w="7700" w:type="dxa"/>
            <w:gridSpan w:val="2"/>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kern w:val="2"/>
                <w:sz w:val="21"/>
                <w:szCs w:val="21"/>
                <w:lang w:val="en-GB" w:eastAsia="zh-CN" w:bidi="ar-SA"/>
              </w:rPr>
              <w:sym w:font="Wingdings" w:char="F0A8"/>
            </w:r>
            <w:r>
              <w:rPr>
                <w:rFonts w:ascii="Times New Roman" w:hAnsi="Times New Roman" w:eastAsia="宋体" w:cs="Times New Roman"/>
                <w:bCs/>
                <w:color w:val="000000"/>
                <w:kern w:val="2"/>
                <w:sz w:val="21"/>
                <w:szCs w:val="21"/>
                <w:lang w:val="en-US" w:eastAsia="zh-CN" w:bidi="ar-SA"/>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widowControl w:val="0"/>
              <w:spacing w:before="0" w:beforeAutospacing="0" w:after="0"/>
              <w:jc w:val="left"/>
              <w:rPr>
                <w:rFonts w:hint="eastAsia" w:ascii="宋体" w:hAnsi="宋体" w:eastAsia="宋体" w:cs="宋体"/>
                <w:kern w:val="2"/>
                <w:sz w:val="21"/>
                <w:szCs w:val="21"/>
                <w:lang w:val="en-US"/>
              </w:rPr>
            </w:pPr>
          </w:p>
        </w:tc>
        <w:tc>
          <w:tcPr>
            <w:tcW w:w="7700" w:type="dxa"/>
            <w:gridSpan w:val="2"/>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kern w:val="2"/>
                <w:sz w:val="21"/>
                <w:szCs w:val="21"/>
                <w:lang w:val="en-GB" w:eastAsia="zh-CN" w:bidi="ar-SA"/>
              </w:rPr>
              <w:sym w:font="Wingdings" w:char="F0A8"/>
            </w:r>
            <w:r>
              <w:rPr>
                <w:rFonts w:ascii="Times New Roman" w:hAnsi="Times New Roman" w:eastAsia="宋体" w:cs="Times New Roman"/>
                <w:bCs/>
                <w:color w:val="000000"/>
                <w:kern w:val="2"/>
                <w:sz w:val="21"/>
                <w:szCs w:val="21"/>
                <w:lang w:val="en-US" w:eastAsia="zh-CN" w:bidi="ar-SA"/>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widowControl w:val="0"/>
              <w:spacing w:before="0" w:beforeAutospacing="0" w:after="0"/>
              <w:jc w:val="left"/>
              <w:rPr>
                <w:rFonts w:hint="eastAsia" w:ascii="宋体" w:hAnsi="宋体" w:eastAsia="宋体" w:cs="宋体"/>
                <w:kern w:val="2"/>
                <w:sz w:val="21"/>
                <w:szCs w:val="21"/>
                <w:lang w:val="en-US"/>
              </w:rPr>
            </w:pPr>
          </w:p>
        </w:tc>
        <w:tc>
          <w:tcPr>
            <w:tcW w:w="7700" w:type="dxa"/>
            <w:gridSpan w:val="2"/>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kern w:val="2"/>
                <w:sz w:val="21"/>
                <w:szCs w:val="21"/>
                <w:lang w:val="en-GB" w:eastAsia="zh-CN" w:bidi="ar-SA"/>
              </w:rPr>
              <w:sym w:font="Wingdings" w:char="F0A8"/>
            </w:r>
            <w:r>
              <w:rPr>
                <w:rFonts w:ascii="Times New Roman" w:hAnsi="Times New Roman" w:eastAsia="宋体" w:cs="Times New Roman"/>
                <w:bCs/>
                <w:color w:val="000000"/>
                <w:kern w:val="2"/>
                <w:sz w:val="21"/>
                <w:szCs w:val="21"/>
                <w:lang w:val="en-US" w:eastAsia="zh-CN" w:bidi="ar-SA"/>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widowControl w:val="0"/>
              <w:spacing w:before="0" w:beforeAutospacing="0" w:after="0"/>
              <w:jc w:val="left"/>
              <w:rPr>
                <w:rFonts w:hint="eastAsia" w:ascii="宋体" w:hAnsi="宋体" w:eastAsia="宋体" w:cs="宋体"/>
                <w:kern w:val="2"/>
                <w:sz w:val="21"/>
                <w:szCs w:val="21"/>
                <w:lang w:val="en-US"/>
              </w:rPr>
            </w:pPr>
          </w:p>
        </w:tc>
        <w:tc>
          <w:tcPr>
            <w:tcW w:w="7700" w:type="dxa"/>
            <w:gridSpan w:val="2"/>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kern w:val="2"/>
                <w:sz w:val="21"/>
                <w:szCs w:val="21"/>
                <w:lang w:val="en-GB" w:eastAsia="zh-CN" w:bidi="ar-SA"/>
              </w:rPr>
              <w:sym w:font="Wingdings" w:char="F0A8"/>
            </w:r>
            <w:r>
              <w:rPr>
                <w:rFonts w:ascii="Times New Roman" w:hAnsi="Times New Roman" w:eastAsia="宋体" w:cs="Times New Roman"/>
                <w:bCs/>
                <w:color w:val="000000"/>
                <w:kern w:val="2"/>
                <w:sz w:val="21"/>
                <w:szCs w:val="21"/>
                <w:lang w:val="en-US" w:eastAsia="zh-CN" w:bidi="ar-SA"/>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trPr>
        <w:tc>
          <w:tcPr>
            <w:tcW w:w="1940" w:type="dxa"/>
            <w:shd w:val="clear" w:color="auto" w:fill="D9D9D9"/>
            <w:noWrap w:val="0"/>
            <w:vAlign w:val="center"/>
          </w:tcPr>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备注</w:t>
            </w:r>
          </w:p>
        </w:tc>
        <w:tc>
          <w:tcPr>
            <w:tcW w:w="7700" w:type="dxa"/>
            <w:gridSpan w:val="2"/>
            <w:noWrap w:val="0"/>
            <w:vAlign w:val="center"/>
          </w:tcPr>
          <w:p>
            <w:pPr>
              <w:widowControl w:val="0"/>
              <w:autoSpaceDE w:val="0"/>
              <w:adjustRightInd w:val="0"/>
              <w:snapToGrid w:val="0"/>
              <w:spacing w:before="0" w:beforeAutospacing="0" w:after="0"/>
              <w:jc w:val="both"/>
              <w:rPr>
                <w:rFonts w:ascii="Times New Roman" w:hAnsi="Times New Roman" w:eastAsia="宋体" w:cs="Times New Roman"/>
                <w:b/>
                <w:color w:val="000000"/>
                <w:kern w:val="2"/>
                <w:sz w:val="21"/>
                <w:szCs w:val="21"/>
                <w:lang w:val="en-US" w:eastAsia="zh-CN" w:bidi="ar-SA"/>
              </w:rPr>
            </w:pPr>
            <w:r>
              <w:rPr>
                <w:rFonts w:hint="eastAsia" w:ascii="Times New Roman" w:hAnsi="Times New Roman" w:eastAsia="宋体" w:cs="Times New Roman"/>
                <w:b/>
                <w:color w:val="000000"/>
                <w:kern w:val="2"/>
                <w:sz w:val="21"/>
                <w:szCs w:val="21"/>
                <w:lang w:val="en-US" w:eastAsia="zh-CN" w:bidi="ar-SA"/>
              </w:rPr>
              <w:t>横向重叠</w:t>
            </w:r>
            <w:r>
              <w:rPr>
                <w:rFonts w:ascii="Times New Roman" w:hAnsi="Times New Roman" w:eastAsia="宋体" w:cs="Times New Roman"/>
                <w:b/>
                <w:color w:val="000000"/>
                <w:kern w:val="2"/>
                <w:sz w:val="21"/>
                <w:szCs w:val="21"/>
                <w:lang w:val="en-US" w:eastAsia="zh-CN" w:bidi="ar-SA"/>
              </w:rPr>
              <w:t>：</w:t>
            </w:r>
          </w:p>
          <w:p>
            <w:pPr>
              <w:widowControl w:val="0"/>
              <w:autoSpaceDE w:val="0"/>
              <w:adjustRightInd w:val="0"/>
              <w:snapToGrid w:val="0"/>
              <w:spacing w:before="0" w:beforeAutospacing="0" w:after="0"/>
              <w:jc w:val="both"/>
              <w:rPr>
                <w:rFonts w:ascii="Times New Roman" w:hAnsi="Times New Roman" w:eastAsia="宋体" w:cs="Times New Roman"/>
                <w:bCs/>
                <w:color w:val="000000"/>
                <w:kern w:val="2"/>
                <w:sz w:val="21"/>
                <w:szCs w:val="21"/>
                <w:lang w:val="en-US" w:eastAsia="zh-CN" w:bidi="ar-SA"/>
              </w:rPr>
            </w:pPr>
            <w:r>
              <w:rPr>
                <w:rFonts w:ascii="Times New Roman" w:hAnsi="Times New Roman" w:eastAsia="宋体" w:cs="Times New Roman"/>
                <w:bCs/>
                <w:color w:val="000000"/>
                <w:kern w:val="2"/>
                <w:sz w:val="21"/>
                <w:szCs w:val="21"/>
                <w:lang w:val="en-US" w:eastAsia="zh-CN" w:bidi="ar-SA"/>
              </w:rPr>
              <w:t>1</w:t>
            </w:r>
            <w:r>
              <w:rPr>
                <w:rFonts w:hint="eastAsia" w:ascii="Times New Roman" w:hAnsi="Times New Roman" w:eastAsia="宋体" w:cs="Times New Roman"/>
                <w:bCs/>
                <w:color w:val="000000"/>
                <w:kern w:val="2"/>
                <w:sz w:val="21"/>
                <w:szCs w:val="21"/>
                <w:lang w:val="en-US" w:eastAsia="zh-CN" w:bidi="ar-SA"/>
              </w:rPr>
              <w:t>、2022年中国境内建筑涂料市场：</w:t>
            </w:r>
          </w:p>
          <w:p>
            <w:pPr>
              <w:widowControl w:val="0"/>
              <w:autoSpaceDE w:val="0"/>
              <w:adjustRightInd w:val="0"/>
              <w:snapToGrid w:val="0"/>
              <w:spacing w:before="0" w:beforeAutospacing="0" w:after="0"/>
              <w:jc w:val="both"/>
              <w:rPr>
                <w:rFonts w:ascii="Times New Roman" w:hAnsi="Times New Roman" w:eastAsia="宋体" w:cs="Times New Roman"/>
                <w:bCs/>
                <w:color w:val="000000"/>
                <w:kern w:val="2"/>
                <w:sz w:val="21"/>
                <w:szCs w:val="21"/>
                <w:lang w:val="en-US" w:eastAsia="zh-CN" w:bidi="ar-SA"/>
              </w:rPr>
            </w:pPr>
            <w:r>
              <w:rPr>
                <w:rFonts w:hint="eastAsia" w:ascii="Times New Roman" w:hAnsi="Times New Roman" w:eastAsia="宋体" w:cs="Times New Roman"/>
                <w:bCs/>
                <w:color w:val="000000"/>
                <w:kern w:val="2"/>
                <w:sz w:val="21"/>
                <w:szCs w:val="21"/>
                <w:lang w:val="en-US" w:eastAsia="zh-CN" w:bidi="ar-SA"/>
              </w:rPr>
              <w:t>北新建材：0-5%，嘉宝莉：</w:t>
            </w:r>
            <w:r>
              <w:rPr>
                <w:rFonts w:ascii="Times New Roman" w:hAnsi="Times New Roman" w:eastAsia="宋体" w:cs="Times New Roman"/>
                <w:bCs/>
                <w:color w:val="000000"/>
                <w:kern w:val="2"/>
                <w:sz w:val="21"/>
                <w:szCs w:val="21"/>
                <w:lang w:val="en-US" w:eastAsia="zh-CN" w:bidi="ar-SA"/>
              </w:rPr>
              <w:t>0-5</w:t>
            </w:r>
            <w:r>
              <w:rPr>
                <w:rFonts w:hint="eastAsia" w:ascii="Times New Roman" w:hAnsi="Times New Roman" w:eastAsia="宋体" w:cs="Times New Roman"/>
                <w:bCs/>
                <w:color w:val="000000"/>
                <w:kern w:val="2"/>
                <w:sz w:val="21"/>
                <w:szCs w:val="21"/>
                <w:lang w:val="en-US" w:eastAsia="zh-CN" w:bidi="ar-SA"/>
              </w:rPr>
              <w:t>%，双方合计：</w:t>
            </w:r>
            <w:r>
              <w:rPr>
                <w:rFonts w:ascii="Times New Roman" w:hAnsi="Times New Roman" w:eastAsia="宋体" w:cs="Times New Roman"/>
                <w:bCs/>
                <w:color w:val="000000"/>
                <w:kern w:val="2"/>
                <w:sz w:val="21"/>
                <w:szCs w:val="21"/>
                <w:lang w:val="en-US" w:eastAsia="zh-CN" w:bidi="ar-SA"/>
              </w:rPr>
              <w:t>0-5</w:t>
            </w:r>
            <w:r>
              <w:rPr>
                <w:rFonts w:hint="eastAsia" w:ascii="Times New Roman" w:hAnsi="Times New Roman" w:eastAsia="宋体" w:cs="Times New Roman"/>
                <w:bCs/>
                <w:color w:val="000000"/>
                <w:kern w:val="2"/>
                <w:sz w:val="21"/>
                <w:szCs w:val="21"/>
                <w:lang w:val="en-US" w:eastAsia="zh-CN" w:bidi="ar-SA"/>
              </w:rPr>
              <w:t>%。</w:t>
            </w:r>
          </w:p>
          <w:p>
            <w:pPr>
              <w:widowControl w:val="0"/>
              <w:autoSpaceDE w:val="0"/>
              <w:adjustRightInd w:val="0"/>
              <w:snapToGrid w:val="0"/>
              <w:spacing w:before="0" w:beforeAutospacing="0" w:after="0"/>
              <w:jc w:val="both"/>
              <w:rPr>
                <w:rFonts w:ascii="Times New Roman" w:hAnsi="Times New Roman" w:eastAsia="宋体" w:cs="Times New Roman"/>
                <w:bCs/>
                <w:color w:val="000000"/>
                <w:kern w:val="2"/>
                <w:sz w:val="21"/>
                <w:szCs w:val="21"/>
                <w:lang w:val="en-US" w:eastAsia="zh-CN" w:bidi="ar-SA"/>
              </w:rPr>
            </w:pPr>
            <w:r>
              <w:rPr>
                <w:rFonts w:hint="eastAsia" w:ascii="Times New Roman" w:hAnsi="Times New Roman" w:eastAsia="宋体" w:cs="Times New Roman"/>
                <w:bCs/>
                <w:color w:val="000000"/>
                <w:kern w:val="2"/>
                <w:sz w:val="21"/>
                <w:szCs w:val="21"/>
                <w:lang w:val="en-US" w:eastAsia="zh-CN" w:bidi="ar-SA"/>
              </w:rPr>
              <w:t>2、2022年中国境内工业涂料市场：</w:t>
            </w:r>
          </w:p>
          <w:p>
            <w:pPr>
              <w:widowControl w:val="0"/>
              <w:autoSpaceDE w:val="0"/>
              <w:adjustRightInd w:val="0"/>
              <w:snapToGrid w:val="0"/>
              <w:spacing w:before="0" w:beforeAutospacing="0" w:after="0"/>
              <w:jc w:val="both"/>
              <w:rPr>
                <w:rFonts w:ascii="Times New Roman" w:hAnsi="Times New Roman" w:eastAsia="宋体" w:cs="Times New Roman"/>
                <w:bCs/>
                <w:color w:val="000000"/>
                <w:kern w:val="2"/>
                <w:sz w:val="21"/>
                <w:szCs w:val="21"/>
                <w:lang w:val="en-US" w:eastAsia="zh-CN" w:bidi="ar-SA"/>
              </w:rPr>
            </w:pPr>
            <w:r>
              <w:rPr>
                <w:rFonts w:hint="eastAsia" w:ascii="Times New Roman" w:hAnsi="Times New Roman" w:eastAsia="宋体" w:cs="Times New Roman"/>
                <w:bCs/>
                <w:color w:val="000000"/>
                <w:kern w:val="2"/>
                <w:sz w:val="21"/>
                <w:szCs w:val="21"/>
                <w:lang w:val="en-US" w:eastAsia="zh-CN" w:bidi="ar-SA"/>
              </w:rPr>
              <w:t>北新建材：0-5%，嘉宝莉：</w:t>
            </w:r>
            <w:r>
              <w:rPr>
                <w:rFonts w:ascii="Times New Roman" w:hAnsi="Times New Roman" w:eastAsia="宋体" w:cs="Times New Roman"/>
                <w:bCs/>
                <w:color w:val="000000"/>
                <w:kern w:val="2"/>
                <w:sz w:val="21"/>
                <w:szCs w:val="21"/>
                <w:lang w:val="en-US" w:eastAsia="zh-CN" w:bidi="ar-SA"/>
              </w:rPr>
              <w:t>0-5</w:t>
            </w:r>
            <w:r>
              <w:rPr>
                <w:rFonts w:hint="eastAsia" w:ascii="Times New Roman" w:hAnsi="Times New Roman" w:eastAsia="宋体" w:cs="Times New Roman"/>
                <w:bCs/>
                <w:color w:val="000000"/>
                <w:kern w:val="2"/>
                <w:sz w:val="21"/>
                <w:szCs w:val="21"/>
                <w:lang w:val="en-US" w:eastAsia="zh-CN" w:bidi="ar-SA"/>
              </w:rPr>
              <w:t>%，双方合计：</w:t>
            </w:r>
            <w:r>
              <w:rPr>
                <w:rFonts w:ascii="Times New Roman" w:hAnsi="Times New Roman" w:eastAsia="宋体" w:cs="Times New Roman"/>
                <w:bCs/>
                <w:color w:val="000000"/>
                <w:kern w:val="2"/>
                <w:sz w:val="21"/>
                <w:szCs w:val="21"/>
                <w:lang w:val="en-US" w:eastAsia="zh-CN" w:bidi="ar-SA"/>
              </w:rPr>
              <w:t>0-5</w:t>
            </w:r>
            <w:r>
              <w:rPr>
                <w:rFonts w:hint="eastAsia" w:ascii="Times New Roman" w:hAnsi="Times New Roman" w:eastAsia="宋体" w:cs="Times New Roman"/>
                <w:bCs/>
                <w:color w:val="000000"/>
                <w:kern w:val="2"/>
                <w:sz w:val="21"/>
                <w:szCs w:val="21"/>
                <w:lang w:val="en-US" w:eastAsia="zh-CN" w:bidi="ar-SA"/>
              </w:rPr>
              <w:t>%。</w:t>
            </w:r>
          </w:p>
          <w:p>
            <w:pPr>
              <w:widowControl w:val="0"/>
              <w:autoSpaceDE w:val="0"/>
              <w:adjustRightInd w:val="0"/>
              <w:snapToGrid w:val="0"/>
              <w:spacing w:before="0" w:beforeAutospacing="0" w:after="0"/>
              <w:jc w:val="both"/>
              <w:rPr>
                <w:rFonts w:ascii="Times New Roman" w:hAnsi="Times New Roman" w:eastAsia="宋体" w:cs="Times New Roman"/>
                <w:bCs/>
                <w:color w:val="000000"/>
                <w:kern w:val="2"/>
                <w:sz w:val="21"/>
                <w:szCs w:val="21"/>
                <w:lang w:val="en-US" w:eastAsia="zh-CN" w:bidi="ar-SA"/>
              </w:rPr>
            </w:pPr>
            <w:r>
              <w:rPr>
                <w:rFonts w:hint="eastAsia" w:ascii="Times New Roman" w:hAnsi="Times New Roman" w:eastAsia="宋体" w:cs="Times New Roman"/>
                <w:bCs/>
                <w:color w:val="000000"/>
                <w:kern w:val="2"/>
                <w:sz w:val="21"/>
                <w:szCs w:val="21"/>
                <w:lang w:val="en-US" w:eastAsia="zh-CN" w:bidi="ar-SA"/>
              </w:rPr>
              <w:t>3、2022年中国境内防水涂料市场：</w:t>
            </w:r>
          </w:p>
          <w:p>
            <w:pPr>
              <w:widowControl w:val="0"/>
              <w:autoSpaceDE w:val="0"/>
              <w:adjustRightInd w:val="0"/>
              <w:snapToGrid w:val="0"/>
              <w:spacing w:before="0" w:beforeAutospacing="0" w:after="0"/>
              <w:jc w:val="both"/>
              <w:rPr>
                <w:rFonts w:hint="eastAsia" w:ascii="宋体" w:hAnsi="宋体" w:eastAsia="宋体" w:cs="宋体"/>
                <w:kern w:val="2"/>
                <w:sz w:val="21"/>
                <w:szCs w:val="21"/>
                <w:lang w:val="en-US" w:eastAsia="zh-CN" w:bidi="ar-SA"/>
              </w:rPr>
            </w:pPr>
            <w:r>
              <w:rPr>
                <w:rFonts w:hint="eastAsia" w:ascii="Times New Roman" w:hAnsi="Times New Roman" w:eastAsia="宋体" w:cs="Times New Roman"/>
                <w:bCs/>
                <w:color w:val="000000"/>
                <w:kern w:val="2"/>
                <w:sz w:val="21"/>
                <w:szCs w:val="21"/>
                <w:lang w:val="en-US" w:eastAsia="zh-CN" w:bidi="ar-SA"/>
              </w:rPr>
              <w:t>北新建材：0-5%，嘉宝莉：</w:t>
            </w:r>
            <w:r>
              <w:rPr>
                <w:rFonts w:ascii="Times New Roman" w:hAnsi="Times New Roman" w:eastAsia="宋体" w:cs="Times New Roman"/>
                <w:bCs/>
                <w:color w:val="000000"/>
                <w:kern w:val="2"/>
                <w:sz w:val="21"/>
                <w:szCs w:val="21"/>
                <w:lang w:val="en-US" w:eastAsia="zh-CN" w:bidi="ar-SA"/>
              </w:rPr>
              <w:t>0-5</w:t>
            </w:r>
            <w:r>
              <w:rPr>
                <w:rFonts w:hint="eastAsia" w:ascii="Times New Roman" w:hAnsi="Times New Roman" w:eastAsia="宋体" w:cs="Times New Roman"/>
                <w:bCs/>
                <w:color w:val="000000"/>
                <w:kern w:val="2"/>
                <w:sz w:val="21"/>
                <w:szCs w:val="21"/>
                <w:lang w:val="en-US" w:eastAsia="zh-CN" w:bidi="ar-SA"/>
              </w:rPr>
              <w:t>%，双方合计：</w:t>
            </w:r>
            <w:r>
              <w:rPr>
                <w:rFonts w:ascii="Times New Roman" w:hAnsi="Times New Roman" w:eastAsia="宋体" w:cs="Times New Roman"/>
                <w:bCs/>
                <w:color w:val="000000"/>
                <w:kern w:val="2"/>
                <w:sz w:val="21"/>
                <w:szCs w:val="21"/>
                <w:lang w:val="en-US" w:eastAsia="zh-CN" w:bidi="ar-SA"/>
              </w:rPr>
              <w:t>0-5</w:t>
            </w:r>
            <w:r>
              <w:rPr>
                <w:rFonts w:hint="eastAsia" w:ascii="Times New Roman" w:hAnsi="Times New Roman" w:eastAsia="宋体" w:cs="Times New Roman"/>
                <w:bCs/>
                <w:color w:val="000000"/>
                <w:kern w:val="2"/>
                <w:sz w:val="21"/>
                <w:szCs w:val="21"/>
                <w:lang w:val="en-US" w:eastAsia="zh-CN" w:bidi="ar-SA"/>
              </w:rPr>
              <w:t>%。</w:t>
            </w:r>
          </w:p>
        </w:tc>
      </w:tr>
    </w:tbl>
    <w:p>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Simplified Arabic">
    <w:panose1 w:val="02020603050405020304"/>
    <w:charset w:val="B2"/>
    <w:family w:val="roman"/>
    <w:pitch w:val="default"/>
    <w:sig w:usb0="00002003" w:usb1="00000000" w:usb2="00000000" w:usb3="00000000" w:csb0="00000041" w:csb1="2008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LIwMbIwsDQ2MjIyNjZR0lEKTi0uzszPAykwrAUA/XItfSwAAAA="/>
    <w:docVar w:name="commondata" w:val="eyJoZGlkIjoiNjRhMjI3ZmYxMzhjMzRiNDE0M2MyZWMwYjZjMjA0NzIifQ=="/>
  </w:docVars>
  <w:rsids>
    <w:rsidRoot w:val="00946093"/>
    <w:rsid w:val="000137E0"/>
    <w:rsid w:val="000C2AA6"/>
    <w:rsid w:val="000F482B"/>
    <w:rsid w:val="0014425D"/>
    <w:rsid w:val="00185356"/>
    <w:rsid w:val="00194748"/>
    <w:rsid w:val="001C19A5"/>
    <w:rsid w:val="001D5B6A"/>
    <w:rsid w:val="001F1174"/>
    <w:rsid w:val="00204505"/>
    <w:rsid w:val="00221721"/>
    <w:rsid w:val="0025658D"/>
    <w:rsid w:val="00266B91"/>
    <w:rsid w:val="00280130"/>
    <w:rsid w:val="00280B5F"/>
    <w:rsid w:val="002F2EB7"/>
    <w:rsid w:val="00330685"/>
    <w:rsid w:val="0033132B"/>
    <w:rsid w:val="00366BEE"/>
    <w:rsid w:val="00382857"/>
    <w:rsid w:val="00382987"/>
    <w:rsid w:val="003A7638"/>
    <w:rsid w:val="003C54A5"/>
    <w:rsid w:val="0040541A"/>
    <w:rsid w:val="00407C8C"/>
    <w:rsid w:val="004138AE"/>
    <w:rsid w:val="00415346"/>
    <w:rsid w:val="00420EC7"/>
    <w:rsid w:val="00436D59"/>
    <w:rsid w:val="00440639"/>
    <w:rsid w:val="004527DB"/>
    <w:rsid w:val="00464E46"/>
    <w:rsid w:val="004709C7"/>
    <w:rsid w:val="00476557"/>
    <w:rsid w:val="004778F0"/>
    <w:rsid w:val="00484513"/>
    <w:rsid w:val="00504955"/>
    <w:rsid w:val="005452B8"/>
    <w:rsid w:val="0059147F"/>
    <w:rsid w:val="005A1945"/>
    <w:rsid w:val="005C39BF"/>
    <w:rsid w:val="005F6A14"/>
    <w:rsid w:val="006066D4"/>
    <w:rsid w:val="006308D6"/>
    <w:rsid w:val="00690392"/>
    <w:rsid w:val="00693EBA"/>
    <w:rsid w:val="00694E32"/>
    <w:rsid w:val="006E582C"/>
    <w:rsid w:val="00700A21"/>
    <w:rsid w:val="0072573B"/>
    <w:rsid w:val="00774ACA"/>
    <w:rsid w:val="007B2FAD"/>
    <w:rsid w:val="007C1899"/>
    <w:rsid w:val="007D0852"/>
    <w:rsid w:val="007E170C"/>
    <w:rsid w:val="008332AE"/>
    <w:rsid w:val="008346D5"/>
    <w:rsid w:val="00851257"/>
    <w:rsid w:val="00852CC5"/>
    <w:rsid w:val="00853871"/>
    <w:rsid w:val="00867778"/>
    <w:rsid w:val="0088740C"/>
    <w:rsid w:val="008B10F3"/>
    <w:rsid w:val="008B1BEF"/>
    <w:rsid w:val="008E4CE0"/>
    <w:rsid w:val="008F42A0"/>
    <w:rsid w:val="00931EFD"/>
    <w:rsid w:val="009322B4"/>
    <w:rsid w:val="00946093"/>
    <w:rsid w:val="009544DC"/>
    <w:rsid w:val="009723A9"/>
    <w:rsid w:val="0097261A"/>
    <w:rsid w:val="00987DF8"/>
    <w:rsid w:val="00987F5A"/>
    <w:rsid w:val="009D2094"/>
    <w:rsid w:val="00A23BFE"/>
    <w:rsid w:val="00A30EFE"/>
    <w:rsid w:val="00A44414"/>
    <w:rsid w:val="00A53422"/>
    <w:rsid w:val="00A73829"/>
    <w:rsid w:val="00AE1160"/>
    <w:rsid w:val="00AF2B95"/>
    <w:rsid w:val="00B24307"/>
    <w:rsid w:val="00B86150"/>
    <w:rsid w:val="00B8639E"/>
    <w:rsid w:val="00B916AA"/>
    <w:rsid w:val="00BA1731"/>
    <w:rsid w:val="00BD4DBA"/>
    <w:rsid w:val="00BD7FA0"/>
    <w:rsid w:val="00BE6D9A"/>
    <w:rsid w:val="00C2749F"/>
    <w:rsid w:val="00C3735D"/>
    <w:rsid w:val="00C41B3B"/>
    <w:rsid w:val="00C9796B"/>
    <w:rsid w:val="00CA4B5A"/>
    <w:rsid w:val="00CD7692"/>
    <w:rsid w:val="00CF1780"/>
    <w:rsid w:val="00D42B58"/>
    <w:rsid w:val="00D866D1"/>
    <w:rsid w:val="00D87C82"/>
    <w:rsid w:val="00D96EE0"/>
    <w:rsid w:val="00DD0418"/>
    <w:rsid w:val="00DF301E"/>
    <w:rsid w:val="00E0602B"/>
    <w:rsid w:val="00E2436F"/>
    <w:rsid w:val="00E33EAB"/>
    <w:rsid w:val="00E442DF"/>
    <w:rsid w:val="00E53585"/>
    <w:rsid w:val="00E54B25"/>
    <w:rsid w:val="00E74D99"/>
    <w:rsid w:val="00E8623F"/>
    <w:rsid w:val="00E9485D"/>
    <w:rsid w:val="00E96EEC"/>
    <w:rsid w:val="00EB09D6"/>
    <w:rsid w:val="00EB1C39"/>
    <w:rsid w:val="00ED4D8C"/>
    <w:rsid w:val="00EE1A8F"/>
    <w:rsid w:val="00EE5975"/>
    <w:rsid w:val="00EF0E68"/>
    <w:rsid w:val="00F2631B"/>
    <w:rsid w:val="00F602BD"/>
    <w:rsid w:val="00F7334B"/>
    <w:rsid w:val="00FA2B1A"/>
    <w:rsid w:val="00FA5A2C"/>
    <w:rsid w:val="00FC7C71"/>
    <w:rsid w:val="00FD2CD6"/>
    <w:rsid w:val="00FD69E4"/>
    <w:rsid w:val="00FE2615"/>
    <w:rsid w:val="00FE3238"/>
    <w:rsid w:val="04BC2777"/>
    <w:rsid w:val="0BE06EF4"/>
    <w:rsid w:val="103C14A0"/>
    <w:rsid w:val="55363B69"/>
    <w:rsid w:val="55FE0924"/>
    <w:rsid w:val="5B5C54BE"/>
    <w:rsid w:val="5B7FD823"/>
    <w:rsid w:val="7ABC7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40"/>
      <w:jc w:val="both"/>
    </w:pPr>
    <w:rPr>
      <w:rFonts w:ascii="Times New Roman" w:hAnsi="Times New Roman" w:eastAsia="宋体" w:cs="Times New Roman"/>
      <w:sz w:val="24"/>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annotation text"/>
    <w:basedOn w:val="1"/>
    <w:link w:val="16"/>
    <w:qFormat/>
    <w:uiPriority w:val="0"/>
    <w:pPr>
      <w:spacing w:before="0" w:beforeAutospacing="0" w:after="0"/>
      <w:jc w:val="left"/>
    </w:pPr>
    <w:rPr>
      <w:rFonts w:ascii="PMingLiU" w:hAnsi="PMingLiU" w:eastAsia="PMingLiU" w:cs="PMingLiU"/>
      <w:sz w:val="20"/>
      <w:szCs w:val="20"/>
      <w:lang w:eastAsia="zh-TW"/>
    </w:rPr>
  </w:style>
  <w:style w:type="paragraph" w:styleId="3">
    <w:name w:val="Body Text"/>
    <w:basedOn w:val="1"/>
    <w:link w:val="11"/>
    <w:unhideWhenUsed/>
    <w:qFormat/>
    <w:uiPriority w:val="99"/>
    <w:rPr>
      <w:rFonts w:cs="Simplified Arabic"/>
    </w:rPr>
  </w:style>
  <w:style w:type="paragraph" w:styleId="4">
    <w:name w:val="Balloon Text"/>
    <w:basedOn w:val="1"/>
    <w:link w:val="15"/>
    <w:semiHidden/>
    <w:unhideWhenUsed/>
    <w:qFormat/>
    <w:uiPriority w:val="99"/>
    <w:pPr>
      <w:spacing w:before="0" w:after="0"/>
    </w:pPr>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0">
    <w:name w:val="annotation reference"/>
    <w:qFormat/>
    <w:uiPriority w:val="99"/>
    <w:rPr>
      <w:sz w:val="16"/>
    </w:rPr>
  </w:style>
  <w:style w:type="character" w:customStyle="1" w:styleId="11">
    <w:name w:val="正文文本 字符"/>
    <w:basedOn w:val="9"/>
    <w:link w:val="3"/>
    <w:qFormat/>
    <w:uiPriority w:val="99"/>
    <w:rPr>
      <w:rFonts w:ascii="Times New Roman" w:hAnsi="Times New Roman" w:eastAsia="宋体" w:cs="Simplified Arabic"/>
      <w:kern w:val="0"/>
      <w:sz w:val="24"/>
    </w:rPr>
  </w:style>
  <w:style w:type="paragraph" w:customStyle="1" w:styleId="12">
    <w:name w:val="修订1"/>
    <w:hidden/>
    <w:semiHidden/>
    <w:qFormat/>
    <w:uiPriority w:val="99"/>
    <w:rPr>
      <w:rFonts w:ascii="Times New Roman" w:hAnsi="Times New Roman" w:eastAsia="宋体" w:cs="Times New Roman"/>
      <w:sz w:val="24"/>
      <w:szCs w:val="24"/>
      <w:lang w:val="en-US" w:eastAsia="zh-CN" w:bidi="ar-SA"/>
    </w:rPr>
  </w:style>
  <w:style w:type="character" w:customStyle="1" w:styleId="13">
    <w:name w:val="页眉 字符"/>
    <w:basedOn w:val="9"/>
    <w:link w:val="6"/>
    <w:qFormat/>
    <w:uiPriority w:val="99"/>
    <w:rPr>
      <w:rFonts w:ascii="Times New Roman" w:hAnsi="Times New Roman" w:eastAsia="宋体" w:cs="Times New Roman"/>
      <w:kern w:val="0"/>
      <w:sz w:val="18"/>
      <w:szCs w:val="18"/>
    </w:rPr>
  </w:style>
  <w:style w:type="character" w:customStyle="1" w:styleId="14">
    <w:name w:val="页脚 字符"/>
    <w:basedOn w:val="9"/>
    <w:link w:val="5"/>
    <w:qFormat/>
    <w:uiPriority w:val="99"/>
    <w:rPr>
      <w:rFonts w:ascii="Times New Roman" w:hAnsi="Times New Roman" w:eastAsia="宋体" w:cs="Times New Roman"/>
      <w:kern w:val="0"/>
      <w:sz w:val="18"/>
      <w:szCs w:val="18"/>
    </w:rPr>
  </w:style>
  <w:style w:type="character" w:customStyle="1" w:styleId="15">
    <w:name w:val="批注框文本 字符"/>
    <w:basedOn w:val="9"/>
    <w:link w:val="4"/>
    <w:semiHidden/>
    <w:qFormat/>
    <w:uiPriority w:val="99"/>
    <w:rPr>
      <w:rFonts w:ascii="Times New Roman" w:hAnsi="Times New Roman" w:eastAsia="宋体" w:cs="Times New Roman"/>
      <w:kern w:val="0"/>
      <w:sz w:val="18"/>
      <w:szCs w:val="18"/>
    </w:rPr>
  </w:style>
  <w:style w:type="character" w:customStyle="1" w:styleId="16">
    <w:name w:val="批注文字 字符"/>
    <w:basedOn w:val="9"/>
    <w:link w:val="2"/>
    <w:qFormat/>
    <w:uiPriority w:val="0"/>
    <w:rPr>
      <w:rFonts w:ascii="PMingLiU" w:hAnsi="PMingLiU" w:eastAsia="PMingLiU" w:cs="PMingLiU"/>
      <w:kern w:val="0"/>
      <w:sz w:val="20"/>
      <w:szCs w:val="20"/>
      <w:lang w:eastAsia="zh-T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136</Words>
  <Characters>777</Characters>
  <Lines>6</Lines>
  <Paragraphs>1</Paragraphs>
  <TotalTime>0</TotalTime>
  <ScaleCrop>false</ScaleCrop>
  <LinksUpToDate>false</LinksUpToDate>
  <CharactersWithSpaces>912</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2022-12-04T18:57:00Z</dcterms:created>
  <dc:creator>Sunland</dc:creator>
  <cp:lastModifiedBy>zhangzc</cp:lastModifiedBy>
  <cp:lastPrinted>2023-07-14T01:56:00Z</cp:lastPrinted>
  <dcterms:modified xsi:type="dcterms:W3CDTF">2024-01-18T07:41:35Z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1E263AD7BD2F4040921FDE6466055287_12</vt:lpwstr>
  </property>
</Properties>
</file>