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2DD23" w14:textId="77777777" w:rsidR="003A35AA" w:rsidRDefault="00E26360">
      <w:pPr>
        <w:jc w:val="center"/>
        <w:rPr>
          <w:rFonts w:ascii="黑体" w:eastAsia="黑体" w:hAnsi="黑体" w:cs="方正小标宋_GBK"/>
          <w:bCs/>
          <w:sz w:val="36"/>
          <w:szCs w:val="36"/>
        </w:rPr>
      </w:pPr>
      <w:r>
        <w:rPr>
          <w:rFonts w:ascii="黑体" w:eastAsia="黑体" w:hAnsi="黑体" w:cs="方正小标宋_GBK" w:hint="eastAsia"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6093"/>
      </w:tblGrid>
      <w:tr w:rsidR="003A35AA" w:rsidRPr="00C2523D" w14:paraId="32568068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3B5A76AF" w14:textId="77777777" w:rsidR="003A35AA" w:rsidRPr="00C2523D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proofErr w:type="spellStart"/>
            <w:r w:rsidRPr="00C2523D">
              <w:rPr>
                <w:rFonts w:cs="Times New Roman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1887F1DE" w14:textId="10F6590E" w:rsidR="003A35AA" w:rsidRPr="00C2523D" w:rsidRDefault="00E079E2">
            <w:pPr>
              <w:adjustRightInd w:val="0"/>
              <w:snapToGrid w:val="0"/>
              <w:spacing w:after="0"/>
              <w:rPr>
                <w:bCs/>
                <w:lang w:val="en-US"/>
              </w:rPr>
            </w:pPr>
            <w:r w:rsidRPr="00E079E2">
              <w:rPr>
                <w:rFonts w:hint="eastAsia"/>
                <w:bCs/>
                <w:lang w:val="en-US"/>
              </w:rPr>
              <w:t>蒙迪有限公司收购阿</w:t>
            </w:r>
            <w:r w:rsidR="000817DD" w:rsidRPr="000817DD">
              <w:rPr>
                <w:rFonts w:hint="eastAsia"/>
                <w:bCs/>
                <w:lang w:val="en-US"/>
              </w:rPr>
              <w:t>阿达尼恩诺尔集装箱码头私人有限公司</w:t>
            </w:r>
            <w:r w:rsidRPr="00E079E2">
              <w:rPr>
                <w:rFonts w:hint="eastAsia"/>
                <w:bCs/>
                <w:lang w:val="en-US"/>
              </w:rPr>
              <w:t>股权案</w:t>
            </w:r>
          </w:p>
        </w:tc>
      </w:tr>
      <w:tr w:rsidR="003A35AA" w:rsidRPr="00C2523D" w14:paraId="53771873" w14:textId="77777777">
        <w:trPr>
          <w:trHeight w:val="2181"/>
        </w:trPr>
        <w:tc>
          <w:tcPr>
            <w:tcW w:w="1940" w:type="dxa"/>
            <w:shd w:val="clear" w:color="auto" w:fill="D9D9D9"/>
            <w:vAlign w:val="center"/>
          </w:tcPr>
          <w:p w14:paraId="3B88D672" w14:textId="77777777" w:rsidR="003A35AA" w:rsidRPr="00C2523D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0B97A3E4" w14:textId="17412254" w:rsidR="00011FDA" w:rsidRPr="00C2523D" w:rsidRDefault="008A6222" w:rsidP="00814473">
            <w:pPr>
              <w:snapToGrid w:val="0"/>
              <w:spacing w:after="0"/>
              <w:rPr>
                <w:lang w:val="en-US"/>
              </w:rPr>
            </w:pPr>
            <w:r w:rsidRPr="00E079E2">
              <w:rPr>
                <w:rFonts w:hint="eastAsia"/>
                <w:bCs/>
                <w:lang w:val="en-US"/>
              </w:rPr>
              <w:t>蒙迪有限公司</w:t>
            </w:r>
            <w:r>
              <w:rPr>
                <w:rFonts w:hint="eastAsia"/>
                <w:bCs/>
                <w:lang w:val="en-US"/>
              </w:rPr>
              <w:t>（“</w:t>
            </w:r>
            <w:r w:rsidRPr="00011FDA">
              <w:rPr>
                <w:rFonts w:hint="eastAsia"/>
                <w:lang w:val="en-US"/>
              </w:rPr>
              <w:t>蒙迪</w:t>
            </w:r>
            <w:r>
              <w:rPr>
                <w:rFonts w:hint="eastAsia"/>
                <w:bCs/>
                <w:lang w:val="en-US"/>
              </w:rPr>
              <w:t>”）</w:t>
            </w:r>
            <w:r w:rsidR="00C50375">
              <w:rPr>
                <w:rFonts w:hint="eastAsia"/>
                <w:bCs/>
                <w:lang w:val="en-US"/>
              </w:rPr>
              <w:t>与</w:t>
            </w:r>
            <w:r w:rsidR="000817DD" w:rsidRPr="000817DD">
              <w:rPr>
                <w:rFonts w:hint="eastAsia"/>
                <w:bCs/>
                <w:lang w:val="en-US"/>
              </w:rPr>
              <w:t>阿达尼恩诺尔集装箱码头私人有限公司</w:t>
            </w:r>
            <w:r w:rsidR="000817DD">
              <w:rPr>
                <w:rFonts w:hint="eastAsia"/>
                <w:bCs/>
                <w:lang w:val="en-US"/>
              </w:rPr>
              <w:t>（“</w:t>
            </w:r>
            <w:r w:rsidR="000817DD" w:rsidRPr="00011FDA">
              <w:rPr>
                <w:rFonts w:hint="eastAsia"/>
                <w:lang w:val="en-US"/>
              </w:rPr>
              <w:t>阿达尼恩诺尔</w:t>
            </w:r>
            <w:r w:rsidR="000817DD">
              <w:rPr>
                <w:rFonts w:hint="eastAsia"/>
                <w:bCs/>
                <w:lang w:val="en-US"/>
              </w:rPr>
              <w:t>”）等公司</w:t>
            </w:r>
            <w:r w:rsidR="00011FDA" w:rsidRPr="00011FDA">
              <w:rPr>
                <w:rFonts w:hint="eastAsia"/>
                <w:lang w:val="en-US"/>
              </w:rPr>
              <w:t>签署《股权购买协议》，约定</w:t>
            </w:r>
            <w:r w:rsidR="000817DD">
              <w:rPr>
                <w:rFonts w:hint="eastAsia"/>
                <w:lang w:val="en-US"/>
              </w:rPr>
              <w:t>蒙迪</w:t>
            </w:r>
            <w:r w:rsidR="00011FDA" w:rsidRPr="00011FDA">
              <w:rPr>
                <w:rFonts w:hint="eastAsia"/>
                <w:lang w:val="en-US"/>
              </w:rPr>
              <w:t>将收购</w:t>
            </w:r>
            <w:r w:rsidR="00957589" w:rsidRPr="00E079E2">
              <w:rPr>
                <w:rFonts w:hint="eastAsia"/>
                <w:bCs/>
                <w:lang w:val="en-US"/>
              </w:rPr>
              <w:t>阿达尼恩诺尔</w:t>
            </w:r>
            <w:r w:rsidR="00011FDA" w:rsidRPr="00011FDA">
              <w:rPr>
                <w:rFonts w:hint="eastAsia"/>
                <w:lang w:val="en-US"/>
              </w:rPr>
              <w:t>49%</w:t>
            </w:r>
            <w:r w:rsidR="00011FDA" w:rsidRPr="00011FDA">
              <w:rPr>
                <w:rFonts w:hint="eastAsia"/>
                <w:lang w:val="en-US"/>
              </w:rPr>
              <w:t>的股权。阿达尼恩诺尔在印度恩诺尔码头提供集装箱码头服务。交易前，</w:t>
            </w:r>
            <w:r w:rsidR="00EA6EC3" w:rsidRPr="00EA6EC3">
              <w:rPr>
                <w:rFonts w:hint="eastAsia"/>
                <w:lang w:val="en-US"/>
              </w:rPr>
              <w:t>阿达尼港口及经济特区有限公司</w:t>
            </w:r>
            <w:r w:rsidR="00EA6EC3">
              <w:rPr>
                <w:rFonts w:hint="eastAsia"/>
                <w:lang w:val="en-US"/>
              </w:rPr>
              <w:t>（“阿达尼港口公司”）</w:t>
            </w:r>
            <w:r w:rsidR="00011FDA" w:rsidRPr="00011FDA">
              <w:rPr>
                <w:rFonts w:hint="eastAsia"/>
                <w:lang w:val="en-US"/>
              </w:rPr>
              <w:t>持有阿达尼恩诺尔</w:t>
            </w:r>
            <w:r w:rsidR="00011FDA" w:rsidRPr="00011FDA">
              <w:rPr>
                <w:rFonts w:hint="eastAsia"/>
                <w:lang w:val="en-US"/>
              </w:rPr>
              <w:t>100%</w:t>
            </w:r>
            <w:r w:rsidR="00011FDA" w:rsidRPr="00011FDA">
              <w:rPr>
                <w:rFonts w:hint="eastAsia"/>
                <w:lang w:val="en-US"/>
              </w:rPr>
              <w:t>股权，单独控制阿达尼恩诺尔；交易后，蒙迪和阿达尼港口公司将分别持有阿达尼恩诺尔</w:t>
            </w:r>
            <w:r w:rsidR="00011FDA" w:rsidRPr="00011FDA">
              <w:rPr>
                <w:rFonts w:hint="eastAsia"/>
                <w:lang w:val="en-US"/>
              </w:rPr>
              <w:t>49%</w:t>
            </w:r>
            <w:r w:rsidR="00011FDA" w:rsidRPr="00011FDA">
              <w:rPr>
                <w:rFonts w:hint="eastAsia"/>
                <w:lang w:val="en-US"/>
              </w:rPr>
              <w:t>和</w:t>
            </w:r>
            <w:r w:rsidR="00011FDA" w:rsidRPr="00011FDA">
              <w:rPr>
                <w:rFonts w:hint="eastAsia"/>
                <w:lang w:val="en-US"/>
              </w:rPr>
              <w:t>51%</w:t>
            </w:r>
            <w:r w:rsidR="00011FDA" w:rsidRPr="00011FDA">
              <w:rPr>
                <w:rFonts w:hint="eastAsia"/>
                <w:lang w:val="en-US"/>
              </w:rPr>
              <w:t>的股权，并共同控制阿达尼恩诺尔。</w:t>
            </w:r>
          </w:p>
        </w:tc>
      </w:tr>
      <w:tr w:rsidR="003A35AA" w:rsidRPr="00C2523D" w14:paraId="7EB10359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AF1DD94" w14:textId="77777777" w:rsidR="003A35AA" w:rsidRPr="00C2523D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 w:rsidRPr="00C2523D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C2523D"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4BCE3C86" w14:textId="23E3B7E0" w:rsidR="003A35AA" w:rsidRPr="00C2523D" w:rsidRDefault="00E26360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 w:rsidRPr="00C2523D"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proofErr w:type="spellStart"/>
            <w:r w:rsidR="00564671" w:rsidRPr="00011FDA">
              <w:rPr>
                <w:rFonts w:hint="eastAsia"/>
                <w:lang w:val="en-US"/>
              </w:rPr>
              <w:t>蒙迪</w:t>
            </w:r>
            <w:proofErr w:type="spellEnd"/>
          </w:p>
        </w:tc>
        <w:tc>
          <w:tcPr>
            <w:tcW w:w="6093" w:type="dxa"/>
            <w:vAlign w:val="center"/>
          </w:tcPr>
          <w:p w14:paraId="47B8C06A" w14:textId="03D3526E" w:rsidR="004425B0" w:rsidRDefault="004425B0" w:rsidP="006A7D27">
            <w:pPr>
              <w:adjustRightInd w:val="0"/>
              <w:snapToGrid w:val="0"/>
              <w:spacing w:after="0"/>
              <w:rPr>
                <w:szCs w:val="21"/>
              </w:rPr>
            </w:pPr>
            <w:r w:rsidRPr="00011FDA">
              <w:rPr>
                <w:rFonts w:hint="eastAsia"/>
                <w:lang w:val="en-US"/>
              </w:rPr>
              <w:t>蒙迪</w:t>
            </w:r>
            <w:r w:rsidRPr="00C2523D">
              <w:rPr>
                <w:lang w:val="en-US"/>
              </w:rPr>
              <w:t>于</w:t>
            </w:r>
            <w:r w:rsidRPr="00C2523D">
              <w:rPr>
                <w:lang w:val="en-US"/>
              </w:rPr>
              <w:t>200</w:t>
            </w:r>
            <w:r>
              <w:rPr>
                <w:lang w:val="en-US"/>
              </w:rPr>
              <w:t>9</w:t>
            </w:r>
            <w:r w:rsidRPr="00C2523D">
              <w:rPr>
                <w:lang w:val="en-US"/>
              </w:rPr>
              <w:t>年</w:t>
            </w:r>
            <w:r>
              <w:rPr>
                <w:rFonts w:hint="eastAsia"/>
                <w:lang w:val="en-US"/>
              </w:rPr>
              <w:t>5</w:t>
            </w:r>
            <w:r w:rsidRPr="00C2523D">
              <w:rPr>
                <w:lang w:val="en-US"/>
              </w:rPr>
              <w:t>月</w:t>
            </w:r>
            <w:r>
              <w:rPr>
                <w:rFonts w:hint="eastAsia"/>
                <w:lang w:val="en-US"/>
              </w:rPr>
              <w:t>2</w:t>
            </w:r>
            <w:r>
              <w:rPr>
                <w:lang w:val="en-US"/>
              </w:rPr>
              <w:t>0</w:t>
            </w:r>
            <w:r w:rsidRPr="00C2523D">
              <w:rPr>
                <w:lang w:val="en-US"/>
              </w:rPr>
              <w:t>日成立于</w:t>
            </w:r>
            <w:r>
              <w:rPr>
                <w:rFonts w:hint="eastAsia"/>
                <w:lang w:val="en-US"/>
              </w:rPr>
              <w:t>塞浦路斯</w:t>
            </w:r>
            <w:r w:rsidRPr="00C2523D">
              <w:rPr>
                <w:lang w:val="en-US"/>
              </w:rPr>
              <w:t>，</w:t>
            </w:r>
            <w:r>
              <w:rPr>
                <w:rFonts w:hint="eastAsia"/>
              </w:rPr>
              <w:t>是码头投资有限公司</w:t>
            </w:r>
            <w:r w:rsidRPr="001609C3">
              <w:t>的全资</w:t>
            </w:r>
            <w:r w:rsidR="00F11F8C">
              <w:rPr>
                <w:rFonts w:hint="eastAsia"/>
              </w:rPr>
              <w:t>拥有的有限责任公司</w:t>
            </w:r>
            <w:r w:rsidRPr="00C2523D">
              <w:rPr>
                <w:szCs w:val="21"/>
              </w:rPr>
              <w:t>。</w:t>
            </w:r>
          </w:p>
          <w:p w14:paraId="400AF049" w14:textId="6FCF1D8E" w:rsidR="00690F30" w:rsidRPr="00C2523D" w:rsidRDefault="000873FE" w:rsidP="006A7D27">
            <w:pPr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蒙迪</w:t>
            </w:r>
            <w:r w:rsidR="0076578F" w:rsidRPr="00C2523D">
              <w:rPr>
                <w:lang w:val="en-US"/>
              </w:rPr>
              <w:t>最终控制人</w:t>
            </w:r>
            <w:r w:rsidR="00C2523D" w:rsidRPr="00C2523D">
              <w:rPr>
                <w:lang w:val="en-US"/>
              </w:rPr>
              <w:t>为</w:t>
            </w:r>
            <w:r w:rsidR="0076578F" w:rsidRPr="00C2523D">
              <w:rPr>
                <w:lang w:val="en-US"/>
              </w:rPr>
              <w:t>地中海</w:t>
            </w:r>
            <w:r w:rsidR="007025DE" w:rsidRPr="00C2523D">
              <w:rPr>
                <w:lang w:val="en-US"/>
              </w:rPr>
              <w:t>航运控股有限公司</w:t>
            </w:r>
            <w:r w:rsidR="00D0221E">
              <w:rPr>
                <w:rFonts w:hint="eastAsia"/>
                <w:lang w:val="en-US"/>
              </w:rPr>
              <w:t>（与其关联方合称“地中海航运集团”）</w:t>
            </w:r>
            <w:r w:rsidR="00170CBB">
              <w:rPr>
                <w:rFonts w:hint="eastAsia"/>
                <w:lang w:val="en-US"/>
              </w:rPr>
              <w:t>和</w:t>
            </w:r>
            <w:r w:rsidR="00F11F8C" w:rsidRPr="00F11F8C">
              <w:rPr>
                <w:rFonts w:hint="eastAsia"/>
                <w:lang w:val="en-US"/>
              </w:rPr>
              <w:t>全球基础设施管理有限公司</w:t>
            </w:r>
            <w:r w:rsidR="00F11F8C">
              <w:rPr>
                <w:rFonts w:hint="eastAsia"/>
                <w:lang w:val="en-US"/>
              </w:rPr>
              <w:t>（“</w:t>
            </w:r>
            <w:r w:rsidR="00170CBB">
              <w:rPr>
                <w:rFonts w:hint="eastAsia"/>
                <w:lang w:val="en-US"/>
              </w:rPr>
              <w:t>GIP</w:t>
            </w:r>
            <w:r w:rsidR="00170CBB">
              <w:rPr>
                <w:rFonts w:hint="eastAsia"/>
                <w:lang w:val="en-US"/>
              </w:rPr>
              <w:t>基金</w:t>
            </w:r>
            <w:r w:rsidR="00F11F8C">
              <w:rPr>
                <w:rFonts w:hint="eastAsia"/>
                <w:lang w:val="en-US"/>
              </w:rPr>
              <w:t>”）</w:t>
            </w:r>
            <w:r w:rsidR="00690F30" w:rsidRPr="00C2523D">
              <w:rPr>
                <w:lang w:val="en-US"/>
              </w:rPr>
              <w:t>，</w:t>
            </w:r>
            <w:r w:rsidR="00D0221E">
              <w:rPr>
                <w:rFonts w:hint="eastAsia"/>
                <w:lang w:val="en-US"/>
              </w:rPr>
              <w:t>地中海航运集团</w:t>
            </w:r>
            <w:r w:rsidR="0099661B">
              <w:rPr>
                <w:rFonts w:hint="eastAsia"/>
                <w:lang w:val="en-US"/>
              </w:rPr>
              <w:t>在全球范围内</w:t>
            </w:r>
            <w:r w:rsidR="00C2523D" w:rsidRPr="00C2523D">
              <w:rPr>
                <w:lang w:val="en-US"/>
              </w:rPr>
              <w:t>提供</w:t>
            </w:r>
            <w:r w:rsidR="00690F30" w:rsidRPr="00C2523D">
              <w:rPr>
                <w:lang w:val="en-US"/>
              </w:rPr>
              <w:t>集装箱班轮运输服务及</w:t>
            </w:r>
            <w:r w:rsidR="006A7D27" w:rsidRPr="00C2523D">
              <w:rPr>
                <w:lang w:val="en-US"/>
              </w:rPr>
              <w:t>其</w:t>
            </w:r>
            <w:r w:rsidR="00F63A44" w:rsidRPr="00C2523D">
              <w:rPr>
                <w:lang w:val="en-US"/>
              </w:rPr>
              <w:t>附属</w:t>
            </w:r>
            <w:r w:rsidR="00690F30" w:rsidRPr="00C2523D">
              <w:rPr>
                <w:lang w:val="en-US"/>
              </w:rPr>
              <w:t>服务</w:t>
            </w:r>
            <w:r w:rsidR="007025DE" w:rsidRPr="00C2523D">
              <w:rPr>
                <w:lang w:val="en-US"/>
              </w:rPr>
              <w:t>、集装箱装卸</w:t>
            </w:r>
            <w:r w:rsidR="00690F30" w:rsidRPr="00C2523D">
              <w:rPr>
                <w:lang w:val="en-US"/>
              </w:rPr>
              <w:t>服务</w:t>
            </w:r>
            <w:r w:rsidR="007025DE" w:rsidRPr="00C2523D">
              <w:rPr>
                <w:lang w:val="en-US"/>
              </w:rPr>
              <w:t>、码头管理服务</w:t>
            </w:r>
            <w:r w:rsidR="00CF38E3">
              <w:rPr>
                <w:rFonts w:hint="eastAsia"/>
                <w:lang w:val="en-US"/>
              </w:rPr>
              <w:t>和</w:t>
            </w:r>
            <w:r w:rsidR="007025DE" w:rsidRPr="00C2523D">
              <w:rPr>
                <w:lang w:val="en-US"/>
              </w:rPr>
              <w:t>港口拖</w:t>
            </w:r>
            <w:r w:rsidR="00690F30" w:rsidRPr="00C2523D">
              <w:rPr>
                <w:lang w:val="en-US"/>
              </w:rPr>
              <w:t>轮</w:t>
            </w:r>
            <w:r w:rsidR="007025DE" w:rsidRPr="00C2523D">
              <w:rPr>
                <w:lang w:val="en-US"/>
              </w:rPr>
              <w:t>服务</w:t>
            </w:r>
            <w:r w:rsidR="00926651">
              <w:rPr>
                <w:rFonts w:hint="eastAsia"/>
                <w:lang w:val="en-US"/>
              </w:rPr>
              <w:t>。</w:t>
            </w:r>
            <w:r w:rsidR="00D702F9">
              <w:rPr>
                <w:rFonts w:hint="eastAsia"/>
                <w:lang w:val="en-US"/>
              </w:rPr>
              <w:t>此外，</w:t>
            </w:r>
            <w:r w:rsidR="00926651">
              <w:rPr>
                <w:rFonts w:hint="eastAsia"/>
                <w:lang w:val="en-US"/>
              </w:rPr>
              <w:t>地中海航运集团</w:t>
            </w:r>
            <w:r w:rsidR="00D702F9">
              <w:rPr>
                <w:rFonts w:hint="eastAsia"/>
                <w:lang w:val="en-US"/>
              </w:rPr>
              <w:t>还</w:t>
            </w:r>
            <w:r w:rsidR="00926651">
              <w:rPr>
                <w:rFonts w:hint="eastAsia"/>
                <w:lang w:val="en-US"/>
              </w:rPr>
              <w:t>提供</w:t>
            </w:r>
            <w:r w:rsidR="00690F30" w:rsidRPr="00C2523D">
              <w:rPr>
                <w:szCs w:val="21"/>
              </w:rPr>
              <w:t>海上邮轮服务</w:t>
            </w:r>
            <w:r w:rsidR="007025DE" w:rsidRPr="00C2523D">
              <w:rPr>
                <w:lang w:val="en-US"/>
              </w:rPr>
              <w:t>、</w:t>
            </w:r>
            <w:r w:rsidR="00F63A44" w:rsidRPr="00C2523D">
              <w:rPr>
                <w:szCs w:val="21"/>
              </w:rPr>
              <w:t>海上客运渡轮</w:t>
            </w:r>
            <w:r w:rsidR="006A7D27" w:rsidRPr="00C2523D">
              <w:rPr>
                <w:szCs w:val="21"/>
              </w:rPr>
              <w:t>服务</w:t>
            </w:r>
            <w:r w:rsidR="00FE09E8">
              <w:rPr>
                <w:rFonts w:hint="eastAsia"/>
                <w:lang w:val="en-US"/>
              </w:rPr>
              <w:t>、</w:t>
            </w:r>
            <w:r w:rsidR="00616ABC">
              <w:rPr>
                <w:rFonts w:hint="eastAsia"/>
                <w:lang w:val="en-US"/>
              </w:rPr>
              <w:t>以及少量</w:t>
            </w:r>
            <w:r w:rsidR="00F63A44" w:rsidRPr="00C2523D">
              <w:rPr>
                <w:szCs w:val="21"/>
              </w:rPr>
              <w:t>旅行社经营</w:t>
            </w:r>
            <w:r w:rsidR="00CF38E3">
              <w:rPr>
                <w:rFonts w:hint="eastAsia"/>
                <w:szCs w:val="21"/>
              </w:rPr>
              <w:t>和</w:t>
            </w:r>
            <w:r w:rsidR="00F63A44" w:rsidRPr="00C2523D">
              <w:rPr>
                <w:szCs w:val="21"/>
              </w:rPr>
              <w:t>旅行社代理</w:t>
            </w:r>
            <w:r w:rsidR="006A7D27" w:rsidRPr="00C2523D">
              <w:rPr>
                <w:szCs w:val="21"/>
              </w:rPr>
              <w:t>服务</w:t>
            </w:r>
            <w:r w:rsidR="007025DE" w:rsidRPr="00C2523D">
              <w:rPr>
                <w:lang w:val="en-US"/>
              </w:rPr>
              <w:t>。</w:t>
            </w:r>
            <w:r w:rsidR="00A215BE">
              <w:rPr>
                <w:rFonts w:hint="eastAsia"/>
                <w:lang w:val="en-US"/>
              </w:rPr>
              <w:t>GIP</w:t>
            </w:r>
            <w:r w:rsidR="00A215BE">
              <w:rPr>
                <w:rFonts w:hint="eastAsia"/>
                <w:lang w:val="en-US"/>
              </w:rPr>
              <w:t>基金</w:t>
            </w:r>
            <w:r w:rsidR="00A215BE" w:rsidRPr="00C2523D">
              <w:rPr>
                <w:bCs/>
                <w:color w:val="000000" w:themeColor="text1"/>
                <w:lang w:val="en-US"/>
              </w:rPr>
              <w:t>主要业务为基金和资产管理。</w:t>
            </w:r>
          </w:p>
        </w:tc>
      </w:tr>
      <w:tr w:rsidR="003A35AA" w:rsidRPr="00C2523D" w14:paraId="05DCAF8B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67DA5D93" w14:textId="77777777" w:rsidR="003A35AA" w:rsidRPr="00C2523D" w:rsidRDefault="003A35A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8D95778" w14:textId="30A39A82" w:rsidR="003A35AA" w:rsidRPr="00C2523D" w:rsidRDefault="00E26360" w:rsidP="0076578F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 w:rsidRPr="00C2523D"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 w:rsidR="00564671">
              <w:rPr>
                <w:rFonts w:hint="eastAsia"/>
                <w:lang w:val="en-US"/>
              </w:rPr>
              <w:t xml:space="preserve"> </w:t>
            </w:r>
            <w:proofErr w:type="spellStart"/>
            <w:r w:rsidR="00564671">
              <w:rPr>
                <w:rFonts w:hint="eastAsia"/>
                <w:lang w:val="en-US"/>
              </w:rPr>
              <w:t>阿达尼港口公司</w:t>
            </w:r>
            <w:proofErr w:type="spellEnd"/>
          </w:p>
        </w:tc>
        <w:tc>
          <w:tcPr>
            <w:tcW w:w="6093" w:type="dxa"/>
            <w:vAlign w:val="center"/>
          </w:tcPr>
          <w:p w14:paraId="3EF42511" w14:textId="573BC91F" w:rsidR="00B3029D" w:rsidRPr="00C2523D" w:rsidRDefault="00062687" w:rsidP="00B3029D">
            <w:pPr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</w:rPr>
            </w:pPr>
            <w:r>
              <w:rPr>
                <w:rFonts w:hint="eastAsia"/>
                <w:bCs/>
                <w:color w:val="000000"/>
                <w:lang w:val="en-US"/>
              </w:rPr>
              <w:t>阿达尼港口公司</w:t>
            </w:r>
            <w:r w:rsidR="00B3029D" w:rsidRPr="00C2523D">
              <w:rPr>
                <w:bCs/>
                <w:color w:val="000000"/>
                <w:lang w:val="en-US"/>
              </w:rPr>
              <w:t>于</w:t>
            </w:r>
            <w:r w:rsidR="00075A86">
              <w:rPr>
                <w:bCs/>
                <w:color w:val="000000"/>
                <w:lang w:val="en-US"/>
              </w:rPr>
              <w:t>1998</w:t>
            </w:r>
            <w:r w:rsidR="00B3029D" w:rsidRPr="00C2523D">
              <w:rPr>
                <w:bCs/>
                <w:color w:val="000000"/>
                <w:lang w:val="en-US"/>
              </w:rPr>
              <w:t>年</w:t>
            </w:r>
            <w:r w:rsidR="001C70CD">
              <w:rPr>
                <w:bCs/>
                <w:color w:val="000000"/>
                <w:lang w:val="en-US"/>
              </w:rPr>
              <w:t>5</w:t>
            </w:r>
            <w:r w:rsidR="00B3029D" w:rsidRPr="00C2523D">
              <w:rPr>
                <w:bCs/>
                <w:color w:val="000000"/>
                <w:lang w:val="en-US"/>
              </w:rPr>
              <w:t>月</w:t>
            </w:r>
            <w:r w:rsidR="00B3029D" w:rsidRPr="00C2523D">
              <w:rPr>
                <w:bCs/>
                <w:color w:val="000000"/>
                <w:lang w:val="en-US"/>
              </w:rPr>
              <w:t>26</w:t>
            </w:r>
            <w:r w:rsidR="00B3029D" w:rsidRPr="00C2523D">
              <w:rPr>
                <w:bCs/>
                <w:color w:val="000000"/>
                <w:lang w:val="en-US"/>
              </w:rPr>
              <w:t>日成立于</w:t>
            </w:r>
            <w:r w:rsidR="007B04C7">
              <w:rPr>
                <w:rFonts w:hint="eastAsia"/>
                <w:bCs/>
                <w:color w:val="000000"/>
                <w:lang w:val="en-US"/>
              </w:rPr>
              <w:t>印度</w:t>
            </w:r>
            <w:r w:rsidR="00B3029D" w:rsidRPr="00C2523D">
              <w:rPr>
                <w:bCs/>
                <w:color w:val="000000"/>
                <w:lang w:val="en-US"/>
              </w:rPr>
              <w:t>，</w:t>
            </w:r>
            <w:r w:rsidR="00EF4701">
              <w:rPr>
                <w:rFonts w:hint="eastAsia"/>
                <w:bCs/>
                <w:color w:val="000000"/>
                <w:lang w:val="en-US"/>
              </w:rPr>
              <w:t>主要从事</w:t>
            </w:r>
            <w:r w:rsidR="001E03D6">
              <w:rPr>
                <w:rFonts w:hint="eastAsia"/>
                <w:bCs/>
                <w:color w:val="000000"/>
                <w:lang w:val="en-US"/>
              </w:rPr>
              <w:t>港口运营业务。</w:t>
            </w:r>
          </w:p>
          <w:p w14:paraId="774DFC80" w14:textId="7289DC82" w:rsidR="003A35AA" w:rsidRPr="00C2523D" w:rsidRDefault="001E03D6" w:rsidP="00B3029D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>
              <w:rPr>
                <w:rFonts w:hint="eastAsia"/>
                <w:bCs/>
                <w:color w:val="000000"/>
                <w:lang w:val="en-US"/>
              </w:rPr>
              <w:t>阿达尼港口公司</w:t>
            </w:r>
            <w:r w:rsidR="00B3029D" w:rsidRPr="00C2523D">
              <w:rPr>
                <w:bCs/>
                <w:color w:val="000000" w:themeColor="text1"/>
                <w:lang w:val="en-US"/>
              </w:rPr>
              <w:t>最终控制人</w:t>
            </w:r>
            <w:r w:rsidR="00C2523D" w:rsidRPr="00C2523D">
              <w:rPr>
                <w:bCs/>
                <w:color w:val="000000" w:themeColor="text1"/>
                <w:lang w:val="en-US"/>
              </w:rPr>
              <w:t>为</w:t>
            </w:r>
            <w:r>
              <w:rPr>
                <w:rFonts w:hint="eastAsia"/>
                <w:color w:val="000000" w:themeColor="text1"/>
              </w:rPr>
              <w:t>家族信托</w:t>
            </w:r>
            <w:r w:rsidR="00B3029D" w:rsidRPr="00C2523D">
              <w:rPr>
                <w:color w:val="000000" w:themeColor="text1"/>
              </w:rPr>
              <w:t>，</w:t>
            </w:r>
            <w:r w:rsidR="00672862">
              <w:rPr>
                <w:rFonts w:hint="eastAsia"/>
                <w:color w:val="000000" w:themeColor="text1"/>
              </w:rPr>
              <w:t>其</w:t>
            </w:r>
            <w:r w:rsidR="00B3029D" w:rsidRPr="00C2523D">
              <w:rPr>
                <w:bCs/>
                <w:color w:val="000000" w:themeColor="text1"/>
                <w:lang w:val="en-US"/>
              </w:rPr>
              <w:t>主要</w:t>
            </w:r>
            <w:r w:rsidR="00EB37F4">
              <w:rPr>
                <w:rFonts w:hint="eastAsia"/>
                <w:bCs/>
                <w:color w:val="000000" w:themeColor="text1"/>
                <w:lang w:val="en-US"/>
              </w:rPr>
              <w:t>在</w:t>
            </w:r>
            <w:r w:rsidR="00EB37F4" w:rsidRPr="00EB37F4">
              <w:rPr>
                <w:rFonts w:hint="eastAsia"/>
                <w:bCs/>
                <w:color w:val="000000" w:themeColor="text1"/>
                <w:lang w:val="en-US"/>
              </w:rPr>
              <w:t>印度的运输和公用事业基础设施领域</w:t>
            </w:r>
            <w:r w:rsidR="00EB37F4">
              <w:rPr>
                <w:rFonts w:hint="eastAsia"/>
                <w:bCs/>
                <w:color w:val="000000" w:themeColor="text1"/>
                <w:lang w:val="en-US"/>
              </w:rPr>
              <w:t>开展业务</w:t>
            </w:r>
            <w:r w:rsidR="00B3029D" w:rsidRPr="00C2523D">
              <w:rPr>
                <w:bCs/>
                <w:color w:val="000000" w:themeColor="text1"/>
                <w:lang w:val="en-US"/>
              </w:rPr>
              <w:t>。</w:t>
            </w:r>
          </w:p>
        </w:tc>
      </w:tr>
      <w:tr w:rsidR="003A35AA" w:rsidRPr="00C2523D" w14:paraId="28D7A6D6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E47107A" w14:textId="77777777" w:rsidR="003A35AA" w:rsidRPr="00C2523D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750263D" w14:textId="2E78EA0A" w:rsidR="003A35AA" w:rsidRPr="00C2523D" w:rsidRDefault="00B3029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3A35AA" w:rsidRPr="00C2523D" w14:paraId="79E8D31A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74282DD1" w14:textId="77777777" w:rsidR="003A35AA" w:rsidRPr="00C2523D" w:rsidRDefault="003A35A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4728F1B" w14:textId="77777777" w:rsidR="003A35AA" w:rsidRPr="00C2523D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3A35AA" w:rsidRPr="00C2523D" w14:paraId="05BDF7EB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73F7738B" w14:textId="77777777" w:rsidR="003A35AA" w:rsidRPr="00C2523D" w:rsidRDefault="003A35A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718994C" w14:textId="77777777" w:rsidR="003A35AA" w:rsidRPr="00C2523D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 xml:space="preserve"> 3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3A35AA" w:rsidRPr="00C2523D" w14:paraId="77683F1E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63DC96DC" w14:textId="77777777" w:rsidR="003A35AA" w:rsidRPr="00C2523D" w:rsidRDefault="003A35A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094615F" w14:textId="77777777" w:rsidR="003A35AA" w:rsidRPr="00C2523D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3A35AA" w:rsidRPr="00C2523D" w14:paraId="1D0695B0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754A5848" w14:textId="77777777" w:rsidR="003A35AA" w:rsidRPr="00C2523D" w:rsidRDefault="003A35A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029C20F" w14:textId="070C5C60" w:rsidR="003A35AA" w:rsidRPr="00C2523D" w:rsidRDefault="00B3029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3A35AA" w:rsidRPr="00C2523D" w14:paraId="51E7F289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20A94B6B" w14:textId="77777777" w:rsidR="003A35AA" w:rsidRPr="00C2523D" w:rsidRDefault="003A35A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BF107B" w14:textId="77777777" w:rsidR="003A35AA" w:rsidRPr="00C2523D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3A35AA" w:rsidRPr="00C2523D" w14:paraId="71CA8F7E" w14:textId="77777777" w:rsidTr="00CB5A7D">
        <w:trPr>
          <w:trHeight w:val="782"/>
        </w:trPr>
        <w:tc>
          <w:tcPr>
            <w:tcW w:w="1940" w:type="dxa"/>
            <w:shd w:val="clear" w:color="auto" w:fill="D9D9D9"/>
            <w:vAlign w:val="center"/>
          </w:tcPr>
          <w:p w14:paraId="4A503FEB" w14:textId="77777777" w:rsidR="003A35AA" w:rsidRPr="00C2523D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23E3B604" w14:textId="5509674D" w:rsidR="003A35AA" w:rsidRPr="00C2523D" w:rsidRDefault="00B3029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t>不适用</w:t>
            </w:r>
          </w:p>
        </w:tc>
      </w:tr>
    </w:tbl>
    <w:p w14:paraId="02EFBF07" w14:textId="77777777" w:rsidR="003A35AA" w:rsidRDefault="003A35AA" w:rsidP="00CB5A7D">
      <w:pPr>
        <w:pStyle w:val="a0"/>
        <w:rPr>
          <w:rFonts w:ascii="宋体" w:hAnsi="宋体" w:cs="宋体"/>
          <w:bCs/>
          <w:color w:val="000000"/>
          <w:sz w:val="28"/>
          <w:szCs w:val="28"/>
          <w:lang w:eastAsia="zh-CN"/>
        </w:rPr>
      </w:pPr>
    </w:p>
    <w:sectPr w:rsidR="003A35AA">
      <w:footerReference w:type="default" r:id="rId9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557F4" w14:textId="77777777" w:rsidR="007B07D3" w:rsidRDefault="007B07D3" w:rsidP="0069392E">
      <w:pPr>
        <w:spacing w:after="0"/>
      </w:pPr>
      <w:r>
        <w:separator/>
      </w:r>
    </w:p>
  </w:endnote>
  <w:endnote w:type="continuationSeparator" w:id="0">
    <w:p w14:paraId="545850B1" w14:textId="77777777" w:rsidR="007B07D3" w:rsidRDefault="007B07D3" w:rsidP="006939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auto"/>
    <w:pitch w:val="default"/>
    <w:sig w:usb0="00000000" w:usb1="00000000" w:usb2="00082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2725140"/>
      <w:docPartObj>
        <w:docPartGallery w:val="Page Numbers (Bottom of Page)"/>
        <w:docPartUnique/>
      </w:docPartObj>
    </w:sdtPr>
    <w:sdtEndPr/>
    <w:sdtContent>
      <w:p w14:paraId="3CC3921D" w14:textId="45B573C7" w:rsidR="00672862" w:rsidRDefault="00672862">
        <w:pPr>
          <w:pStyle w:val="af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0CCCA7B" w14:textId="77777777" w:rsidR="00672862" w:rsidRDefault="00672862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E4690" w14:textId="77777777" w:rsidR="007B07D3" w:rsidRDefault="007B07D3" w:rsidP="0069392E">
      <w:pPr>
        <w:spacing w:after="0"/>
      </w:pPr>
      <w:r>
        <w:separator/>
      </w:r>
    </w:p>
  </w:footnote>
  <w:footnote w:type="continuationSeparator" w:id="0">
    <w:p w14:paraId="55855DF8" w14:textId="77777777" w:rsidR="007B07D3" w:rsidRDefault="007B07D3" w:rsidP="006939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left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left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left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left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left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left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left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left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left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918712564">
    <w:abstractNumId w:val="2"/>
  </w:num>
  <w:num w:numId="2" w16cid:durableId="1320307868">
    <w:abstractNumId w:val="0"/>
  </w:num>
  <w:num w:numId="3" w16cid:durableId="1826898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77BA46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16AF"/>
    <w:rsid w:val="00011FDA"/>
    <w:rsid w:val="00012D50"/>
    <w:rsid w:val="000150B7"/>
    <w:rsid w:val="00021AB2"/>
    <w:rsid w:val="00021C80"/>
    <w:rsid w:val="000326C8"/>
    <w:rsid w:val="00041C40"/>
    <w:rsid w:val="0004292A"/>
    <w:rsid w:val="000467AA"/>
    <w:rsid w:val="000517FC"/>
    <w:rsid w:val="00062616"/>
    <w:rsid w:val="00062687"/>
    <w:rsid w:val="00073E6B"/>
    <w:rsid w:val="00075A86"/>
    <w:rsid w:val="0007723F"/>
    <w:rsid w:val="00077D60"/>
    <w:rsid w:val="000817DD"/>
    <w:rsid w:val="00083590"/>
    <w:rsid w:val="000873FE"/>
    <w:rsid w:val="00092F4E"/>
    <w:rsid w:val="000932ED"/>
    <w:rsid w:val="00093DED"/>
    <w:rsid w:val="000A4A6C"/>
    <w:rsid w:val="000A7D80"/>
    <w:rsid w:val="000B0BF0"/>
    <w:rsid w:val="000B25C4"/>
    <w:rsid w:val="000B4840"/>
    <w:rsid w:val="000B58E5"/>
    <w:rsid w:val="000B653C"/>
    <w:rsid w:val="000C155E"/>
    <w:rsid w:val="000C6953"/>
    <w:rsid w:val="000D07D0"/>
    <w:rsid w:val="000E0B95"/>
    <w:rsid w:val="000E29A9"/>
    <w:rsid w:val="000E3A81"/>
    <w:rsid w:val="00107E19"/>
    <w:rsid w:val="00111171"/>
    <w:rsid w:val="00115F62"/>
    <w:rsid w:val="00123E26"/>
    <w:rsid w:val="00145B05"/>
    <w:rsid w:val="00146387"/>
    <w:rsid w:val="001639D8"/>
    <w:rsid w:val="00170CBB"/>
    <w:rsid w:val="00173346"/>
    <w:rsid w:val="00175B68"/>
    <w:rsid w:val="00176FB3"/>
    <w:rsid w:val="00186A05"/>
    <w:rsid w:val="001965E2"/>
    <w:rsid w:val="001A2622"/>
    <w:rsid w:val="001B4EA1"/>
    <w:rsid w:val="001C30A1"/>
    <w:rsid w:val="001C5840"/>
    <w:rsid w:val="001C70CD"/>
    <w:rsid w:val="001D1555"/>
    <w:rsid w:val="001D6168"/>
    <w:rsid w:val="001E03D6"/>
    <w:rsid w:val="001E0F1F"/>
    <w:rsid w:val="001F0FA1"/>
    <w:rsid w:val="001F346E"/>
    <w:rsid w:val="001F35AA"/>
    <w:rsid w:val="001F367B"/>
    <w:rsid w:val="001F3B24"/>
    <w:rsid w:val="00224A7C"/>
    <w:rsid w:val="002278D1"/>
    <w:rsid w:val="00231665"/>
    <w:rsid w:val="00233737"/>
    <w:rsid w:val="002403B5"/>
    <w:rsid w:val="00245281"/>
    <w:rsid w:val="00250E61"/>
    <w:rsid w:val="00252AD9"/>
    <w:rsid w:val="00261F94"/>
    <w:rsid w:val="00266ED1"/>
    <w:rsid w:val="00267941"/>
    <w:rsid w:val="0028242D"/>
    <w:rsid w:val="00287E91"/>
    <w:rsid w:val="00291652"/>
    <w:rsid w:val="002964A1"/>
    <w:rsid w:val="002A25F2"/>
    <w:rsid w:val="002A7C26"/>
    <w:rsid w:val="002D58A6"/>
    <w:rsid w:val="002F09A7"/>
    <w:rsid w:val="002F3142"/>
    <w:rsid w:val="002F5271"/>
    <w:rsid w:val="00300DC6"/>
    <w:rsid w:val="00306B88"/>
    <w:rsid w:val="00310488"/>
    <w:rsid w:val="00311263"/>
    <w:rsid w:val="0034107F"/>
    <w:rsid w:val="00344D27"/>
    <w:rsid w:val="0035604C"/>
    <w:rsid w:val="00357085"/>
    <w:rsid w:val="00371332"/>
    <w:rsid w:val="003730A1"/>
    <w:rsid w:val="00380F36"/>
    <w:rsid w:val="003850D4"/>
    <w:rsid w:val="00385F00"/>
    <w:rsid w:val="003866EF"/>
    <w:rsid w:val="003A35AA"/>
    <w:rsid w:val="003A4565"/>
    <w:rsid w:val="003A5A35"/>
    <w:rsid w:val="003B21C1"/>
    <w:rsid w:val="003B2740"/>
    <w:rsid w:val="003B27EC"/>
    <w:rsid w:val="003B2F86"/>
    <w:rsid w:val="003B4439"/>
    <w:rsid w:val="003B4C9E"/>
    <w:rsid w:val="003B7CBC"/>
    <w:rsid w:val="003C3456"/>
    <w:rsid w:val="003D516F"/>
    <w:rsid w:val="003E0DD8"/>
    <w:rsid w:val="003E3B57"/>
    <w:rsid w:val="003E73DB"/>
    <w:rsid w:val="003F2964"/>
    <w:rsid w:val="003F5E57"/>
    <w:rsid w:val="00410914"/>
    <w:rsid w:val="004119F5"/>
    <w:rsid w:val="004166B2"/>
    <w:rsid w:val="004203EF"/>
    <w:rsid w:val="00426885"/>
    <w:rsid w:val="00427E52"/>
    <w:rsid w:val="00431E3C"/>
    <w:rsid w:val="004425B0"/>
    <w:rsid w:val="00446353"/>
    <w:rsid w:val="0044739B"/>
    <w:rsid w:val="00453823"/>
    <w:rsid w:val="0046786A"/>
    <w:rsid w:val="00467A6B"/>
    <w:rsid w:val="004721BD"/>
    <w:rsid w:val="004861B2"/>
    <w:rsid w:val="0049707A"/>
    <w:rsid w:val="004973DB"/>
    <w:rsid w:val="0049771A"/>
    <w:rsid w:val="004A27EC"/>
    <w:rsid w:val="004A4BF1"/>
    <w:rsid w:val="004A5892"/>
    <w:rsid w:val="004B1665"/>
    <w:rsid w:val="004C3420"/>
    <w:rsid w:val="004D018B"/>
    <w:rsid w:val="004D124C"/>
    <w:rsid w:val="004D1F84"/>
    <w:rsid w:val="004D4435"/>
    <w:rsid w:val="0051217F"/>
    <w:rsid w:val="00512A53"/>
    <w:rsid w:val="00523905"/>
    <w:rsid w:val="005251B9"/>
    <w:rsid w:val="00530BB4"/>
    <w:rsid w:val="00545A47"/>
    <w:rsid w:val="00564671"/>
    <w:rsid w:val="0057200D"/>
    <w:rsid w:val="00591CEC"/>
    <w:rsid w:val="005A0B43"/>
    <w:rsid w:val="005B0CEB"/>
    <w:rsid w:val="005B18A3"/>
    <w:rsid w:val="005B278A"/>
    <w:rsid w:val="005B58D2"/>
    <w:rsid w:val="005B7E2F"/>
    <w:rsid w:val="005D277C"/>
    <w:rsid w:val="005D6D17"/>
    <w:rsid w:val="005E7B2F"/>
    <w:rsid w:val="005F2414"/>
    <w:rsid w:val="005F5280"/>
    <w:rsid w:val="005F572C"/>
    <w:rsid w:val="005F7223"/>
    <w:rsid w:val="0060413B"/>
    <w:rsid w:val="00605EE6"/>
    <w:rsid w:val="0060669E"/>
    <w:rsid w:val="00614EBB"/>
    <w:rsid w:val="0061583E"/>
    <w:rsid w:val="00616ABC"/>
    <w:rsid w:val="00617BCA"/>
    <w:rsid w:val="00626E25"/>
    <w:rsid w:val="006277F9"/>
    <w:rsid w:val="00632159"/>
    <w:rsid w:val="00645B6A"/>
    <w:rsid w:val="00655225"/>
    <w:rsid w:val="00664174"/>
    <w:rsid w:val="006643EA"/>
    <w:rsid w:val="00672862"/>
    <w:rsid w:val="0067348D"/>
    <w:rsid w:val="006745A9"/>
    <w:rsid w:val="00682729"/>
    <w:rsid w:val="00690F30"/>
    <w:rsid w:val="006910C5"/>
    <w:rsid w:val="0069392E"/>
    <w:rsid w:val="006A7D27"/>
    <w:rsid w:val="006B008F"/>
    <w:rsid w:val="006B4541"/>
    <w:rsid w:val="006D1E2B"/>
    <w:rsid w:val="006E0D98"/>
    <w:rsid w:val="006E3180"/>
    <w:rsid w:val="006E4358"/>
    <w:rsid w:val="006E6E26"/>
    <w:rsid w:val="006E70AA"/>
    <w:rsid w:val="006F2E54"/>
    <w:rsid w:val="006F5A91"/>
    <w:rsid w:val="006F7A98"/>
    <w:rsid w:val="007025DE"/>
    <w:rsid w:val="007029CB"/>
    <w:rsid w:val="00703C73"/>
    <w:rsid w:val="00705778"/>
    <w:rsid w:val="0071373B"/>
    <w:rsid w:val="00720F7B"/>
    <w:rsid w:val="00726B19"/>
    <w:rsid w:val="00727BD0"/>
    <w:rsid w:val="007303E4"/>
    <w:rsid w:val="007373F0"/>
    <w:rsid w:val="00742AFE"/>
    <w:rsid w:val="00742EDF"/>
    <w:rsid w:val="007460D3"/>
    <w:rsid w:val="00751420"/>
    <w:rsid w:val="0076578F"/>
    <w:rsid w:val="007674D7"/>
    <w:rsid w:val="00772298"/>
    <w:rsid w:val="00794062"/>
    <w:rsid w:val="00794682"/>
    <w:rsid w:val="00797584"/>
    <w:rsid w:val="007A2D94"/>
    <w:rsid w:val="007B0419"/>
    <w:rsid w:val="007B04C7"/>
    <w:rsid w:val="007B07D3"/>
    <w:rsid w:val="007B651A"/>
    <w:rsid w:val="007B6ED8"/>
    <w:rsid w:val="007B75E4"/>
    <w:rsid w:val="007C0A20"/>
    <w:rsid w:val="007C123F"/>
    <w:rsid w:val="007E2608"/>
    <w:rsid w:val="007F1726"/>
    <w:rsid w:val="007F647E"/>
    <w:rsid w:val="0080200E"/>
    <w:rsid w:val="00803A33"/>
    <w:rsid w:val="008051ED"/>
    <w:rsid w:val="00806464"/>
    <w:rsid w:val="00811775"/>
    <w:rsid w:val="00814473"/>
    <w:rsid w:val="00816BDB"/>
    <w:rsid w:val="00822439"/>
    <w:rsid w:val="008248B2"/>
    <w:rsid w:val="0082545D"/>
    <w:rsid w:val="00834D88"/>
    <w:rsid w:val="008418F4"/>
    <w:rsid w:val="00864085"/>
    <w:rsid w:val="008803D0"/>
    <w:rsid w:val="00880F24"/>
    <w:rsid w:val="008836AF"/>
    <w:rsid w:val="00885C9B"/>
    <w:rsid w:val="00893879"/>
    <w:rsid w:val="00895D57"/>
    <w:rsid w:val="008A6222"/>
    <w:rsid w:val="008B2172"/>
    <w:rsid w:val="008D4ED8"/>
    <w:rsid w:val="008D644E"/>
    <w:rsid w:val="008E1A80"/>
    <w:rsid w:val="008E5BCA"/>
    <w:rsid w:val="008F090E"/>
    <w:rsid w:val="009022B0"/>
    <w:rsid w:val="00905F4A"/>
    <w:rsid w:val="00913572"/>
    <w:rsid w:val="009145E4"/>
    <w:rsid w:val="00917288"/>
    <w:rsid w:val="00926651"/>
    <w:rsid w:val="009301D9"/>
    <w:rsid w:val="0094346F"/>
    <w:rsid w:val="00953187"/>
    <w:rsid w:val="009551E9"/>
    <w:rsid w:val="00957589"/>
    <w:rsid w:val="0096333E"/>
    <w:rsid w:val="009668EC"/>
    <w:rsid w:val="00977C3B"/>
    <w:rsid w:val="009901B5"/>
    <w:rsid w:val="0099661B"/>
    <w:rsid w:val="009A0BCC"/>
    <w:rsid w:val="009A2EFA"/>
    <w:rsid w:val="009A57C5"/>
    <w:rsid w:val="009A6CD4"/>
    <w:rsid w:val="009A6E66"/>
    <w:rsid w:val="009B0211"/>
    <w:rsid w:val="009B23D0"/>
    <w:rsid w:val="009B5E73"/>
    <w:rsid w:val="009C16F8"/>
    <w:rsid w:val="009C1DE7"/>
    <w:rsid w:val="009C5625"/>
    <w:rsid w:val="009C5962"/>
    <w:rsid w:val="009D0999"/>
    <w:rsid w:val="009D68FF"/>
    <w:rsid w:val="009E053C"/>
    <w:rsid w:val="009F0698"/>
    <w:rsid w:val="009F56F8"/>
    <w:rsid w:val="00A05705"/>
    <w:rsid w:val="00A16F03"/>
    <w:rsid w:val="00A21136"/>
    <w:rsid w:val="00A215BE"/>
    <w:rsid w:val="00A3323A"/>
    <w:rsid w:val="00A37914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93E45"/>
    <w:rsid w:val="00AA0F23"/>
    <w:rsid w:val="00AA3E2F"/>
    <w:rsid w:val="00AA46CA"/>
    <w:rsid w:val="00AA535B"/>
    <w:rsid w:val="00AB4895"/>
    <w:rsid w:val="00AC3273"/>
    <w:rsid w:val="00AC3990"/>
    <w:rsid w:val="00AC68C4"/>
    <w:rsid w:val="00AC6F12"/>
    <w:rsid w:val="00AD310D"/>
    <w:rsid w:val="00AD3D4D"/>
    <w:rsid w:val="00AE20AD"/>
    <w:rsid w:val="00AE4069"/>
    <w:rsid w:val="00AE7916"/>
    <w:rsid w:val="00AF09EA"/>
    <w:rsid w:val="00AF0CD0"/>
    <w:rsid w:val="00AF1D6D"/>
    <w:rsid w:val="00AF5632"/>
    <w:rsid w:val="00AF7B3A"/>
    <w:rsid w:val="00B04913"/>
    <w:rsid w:val="00B2169A"/>
    <w:rsid w:val="00B3029D"/>
    <w:rsid w:val="00B31D4D"/>
    <w:rsid w:val="00B3616B"/>
    <w:rsid w:val="00B37633"/>
    <w:rsid w:val="00B415B4"/>
    <w:rsid w:val="00B518C9"/>
    <w:rsid w:val="00B52EAC"/>
    <w:rsid w:val="00B54969"/>
    <w:rsid w:val="00B80B9E"/>
    <w:rsid w:val="00B838DA"/>
    <w:rsid w:val="00B84686"/>
    <w:rsid w:val="00B8613C"/>
    <w:rsid w:val="00B86E3A"/>
    <w:rsid w:val="00BA017F"/>
    <w:rsid w:val="00BA1FC4"/>
    <w:rsid w:val="00BB4441"/>
    <w:rsid w:val="00BD535F"/>
    <w:rsid w:val="00BE5DCE"/>
    <w:rsid w:val="00BE6E64"/>
    <w:rsid w:val="00BF31B7"/>
    <w:rsid w:val="00BF4F99"/>
    <w:rsid w:val="00C10048"/>
    <w:rsid w:val="00C1649F"/>
    <w:rsid w:val="00C17D6E"/>
    <w:rsid w:val="00C2523D"/>
    <w:rsid w:val="00C30E9B"/>
    <w:rsid w:val="00C329CC"/>
    <w:rsid w:val="00C36DD2"/>
    <w:rsid w:val="00C41FC4"/>
    <w:rsid w:val="00C424FC"/>
    <w:rsid w:val="00C50375"/>
    <w:rsid w:val="00C51ECC"/>
    <w:rsid w:val="00C56D47"/>
    <w:rsid w:val="00C600D9"/>
    <w:rsid w:val="00C634F4"/>
    <w:rsid w:val="00C67ADA"/>
    <w:rsid w:val="00C807D7"/>
    <w:rsid w:val="00C810E8"/>
    <w:rsid w:val="00C8211A"/>
    <w:rsid w:val="00C847C2"/>
    <w:rsid w:val="00CA6613"/>
    <w:rsid w:val="00CB5A7D"/>
    <w:rsid w:val="00CB762B"/>
    <w:rsid w:val="00CB7BD4"/>
    <w:rsid w:val="00CC69AD"/>
    <w:rsid w:val="00CF1664"/>
    <w:rsid w:val="00CF38E3"/>
    <w:rsid w:val="00CF5A8A"/>
    <w:rsid w:val="00D01278"/>
    <w:rsid w:val="00D0221E"/>
    <w:rsid w:val="00D12AB1"/>
    <w:rsid w:val="00D23B36"/>
    <w:rsid w:val="00D269D3"/>
    <w:rsid w:val="00D27AEB"/>
    <w:rsid w:val="00D44017"/>
    <w:rsid w:val="00D53BAE"/>
    <w:rsid w:val="00D55031"/>
    <w:rsid w:val="00D57DBA"/>
    <w:rsid w:val="00D57EBC"/>
    <w:rsid w:val="00D65545"/>
    <w:rsid w:val="00D702F9"/>
    <w:rsid w:val="00D71F76"/>
    <w:rsid w:val="00D754E2"/>
    <w:rsid w:val="00D77095"/>
    <w:rsid w:val="00D80573"/>
    <w:rsid w:val="00D81214"/>
    <w:rsid w:val="00D94BB1"/>
    <w:rsid w:val="00D961C9"/>
    <w:rsid w:val="00D97B80"/>
    <w:rsid w:val="00DA1D73"/>
    <w:rsid w:val="00DB2761"/>
    <w:rsid w:val="00DB2FF6"/>
    <w:rsid w:val="00DC3F8D"/>
    <w:rsid w:val="00DD0E0C"/>
    <w:rsid w:val="00DD5826"/>
    <w:rsid w:val="00DD7765"/>
    <w:rsid w:val="00DE522D"/>
    <w:rsid w:val="00DF58D8"/>
    <w:rsid w:val="00E079E2"/>
    <w:rsid w:val="00E23896"/>
    <w:rsid w:val="00E23955"/>
    <w:rsid w:val="00E2560C"/>
    <w:rsid w:val="00E26360"/>
    <w:rsid w:val="00E417DF"/>
    <w:rsid w:val="00E47327"/>
    <w:rsid w:val="00E61D80"/>
    <w:rsid w:val="00E7385D"/>
    <w:rsid w:val="00E86579"/>
    <w:rsid w:val="00E90A19"/>
    <w:rsid w:val="00E974F8"/>
    <w:rsid w:val="00EA6EC3"/>
    <w:rsid w:val="00EA79DA"/>
    <w:rsid w:val="00EB06DD"/>
    <w:rsid w:val="00EB37F4"/>
    <w:rsid w:val="00EC0687"/>
    <w:rsid w:val="00EC636E"/>
    <w:rsid w:val="00EC7E55"/>
    <w:rsid w:val="00ED6F93"/>
    <w:rsid w:val="00EE3314"/>
    <w:rsid w:val="00EE7CB8"/>
    <w:rsid w:val="00EF16FB"/>
    <w:rsid w:val="00EF265D"/>
    <w:rsid w:val="00EF2C17"/>
    <w:rsid w:val="00EF4701"/>
    <w:rsid w:val="00F02216"/>
    <w:rsid w:val="00F0291C"/>
    <w:rsid w:val="00F03937"/>
    <w:rsid w:val="00F101DD"/>
    <w:rsid w:val="00F11F8C"/>
    <w:rsid w:val="00F14193"/>
    <w:rsid w:val="00F14D59"/>
    <w:rsid w:val="00F20CCE"/>
    <w:rsid w:val="00F22969"/>
    <w:rsid w:val="00F3614E"/>
    <w:rsid w:val="00F56870"/>
    <w:rsid w:val="00F576E0"/>
    <w:rsid w:val="00F63A44"/>
    <w:rsid w:val="00F6440C"/>
    <w:rsid w:val="00F647ED"/>
    <w:rsid w:val="00F66D07"/>
    <w:rsid w:val="00F6700E"/>
    <w:rsid w:val="00F70364"/>
    <w:rsid w:val="00F74EC0"/>
    <w:rsid w:val="00F759BC"/>
    <w:rsid w:val="00F901CF"/>
    <w:rsid w:val="00F906EF"/>
    <w:rsid w:val="00F94806"/>
    <w:rsid w:val="00F949E8"/>
    <w:rsid w:val="00FB110A"/>
    <w:rsid w:val="00FB33FD"/>
    <w:rsid w:val="00FB645E"/>
    <w:rsid w:val="00FC35ED"/>
    <w:rsid w:val="00FD3902"/>
    <w:rsid w:val="00FD6CD9"/>
    <w:rsid w:val="00FE09E8"/>
    <w:rsid w:val="00FE20D9"/>
    <w:rsid w:val="00FE365F"/>
    <w:rsid w:val="00FF22EB"/>
    <w:rsid w:val="00FF30F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5F2A60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3E4F1"/>
  <w15:docId w15:val="{DEDF3DAA-9118-4028-AA68-C4CB8353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er" w:uiPriority="99"/>
    <w:lsdException w:name="footer" w:uiPriority="99"/>
    <w:lsdException w:name="line number" w:qFormat="0"/>
    <w:lsdException w:name="List Bullet" w:qFormat="0"/>
    <w:lsdException w:name="List Number" w:qFormat="0"/>
    <w:lsdException w:name="List Bullet 2" w:qFormat="0"/>
    <w:lsdException w:name="List Bullet 3" w:qFormat="0"/>
    <w:lsdException w:name="List Bullet 4" w:qFormat="0"/>
    <w:lsdException w:name="List Bullet 5" w:qFormat="0"/>
    <w:lsdException w:name="List Number 2" w:qFormat="0"/>
    <w:lsdException w:name="List Number 3" w:qFormat="0"/>
    <w:lsdException w:name="List Number 4" w:qFormat="0"/>
    <w:lsdException w:name="List Number 5" w:qFormat="0"/>
    <w:lsdException w:name="Default Paragraph Font" w:semiHidden="1" w:uiPriority="1" w:unhideWhenUsed="1"/>
    <w:lsdException w:name="Hyperlink" w:uiPriority="99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Sample" w:qFormat="0"/>
    <w:lsdException w:name="HTML Typewriter" w:qFormat="0"/>
    <w:lsdException w:name="HTML Variable" w:qFormat="0"/>
    <w:lsdException w:name="Normal Table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 w:qFormat="0"/>
    <w:lsdException w:name="Light List Accent 1" w:uiPriority="61" w:qFormat="0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qFormat="0"/>
    <w:lsdException w:name="List Paragraph" w:uiPriority="34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paragraph" w:styleId="a0">
    <w:name w:val="Body Text"/>
    <w:basedOn w:val="a"/>
    <w:link w:val="a6"/>
    <w:qFormat/>
    <w:rPr>
      <w:rFonts w:cs="Simplified Arabic"/>
      <w:lang w:eastAsia="en-GB"/>
    </w:rPr>
  </w:style>
  <w:style w:type="paragraph" w:styleId="31">
    <w:name w:val="List 3"/>
    <w:basedOn w:val="a"/>
    <w:qFormat/>
    <w:pPr>
      <w:ind w:left="1080" w:hanging="360"/>
      <w:contextualSpacing/>
    </w:pPr>
  </w:style>
  <w:style w:type="paragraph" w:styleId="TOC7">
    <w:name w:val="toc 7"/>
    <w:basedOn w:val="a"/>
    <w:next w:val="a"/>
    <w:qFormat/>
    <w:pPr>
      <w:ind w:left="1440"/>
    </w:pPr>
  </w:style>
  <w:style w:type="paragraph" w:styleId="a7">
    <w:name w:val="table of authorities"/>
    <w:basedOn w:val="a"/>
    <w:next w:val="a"/>
    <w:qFormat/>
    <w:pPr>
      <w:ind w:left="240" w:hanging="240"/>
    </w:pPr>
  </w:style>
  <w:style w:type="paragraph" w:styleId="a8">
    <w:name w:val="Note Heading"/>
    <w:basedOn w:val="a"/>
    <w:next w:val="a"/>
    <w:link w:val="a9"/>
    <w:qFormat/>
    <w:rPr>
      <w:rFonts w:cs="Simplified Arabic"/>
    </w:rPr>
  </w:style>
  <w:style w:type="paragraph" w:styleId="81">
    <w:name w:val="index 8"/>
    <w:basedOn w:val="a"/>
    <w:next w:val="a"/>
    <w:qFormat/>
    <w:pPr>
      <w:ind w:left="1920" w:hanging="240"/>
    </w:pPr>
  </w:style>
  <w:style w:type="paragraph" w:styleId="aa">
    <w:name w:val="E-mail Signature"/>
    <w:basedOn w:val="a"/>
    <w:link w:val="ab"/>
    <w:qFormat/>
    <w:rPr>
      <w:rFonts w:cs="Simplified Arabic"/>
    </w:rPr>
  </w:style>
  <w:style w:type="paragraph" w:styleId="ac">
    <w:name w:val="Normal Indent"/>
    <w:basedOn w:val="a"/>
    <w:qFormat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qFormat/>
    <w:pPr>
      <w:ind w:left="1200" w:hanging="240"/>
    </w:pPr>
  </w:style>
  <w:style w:type="paragraph" w:styleId="ae">
    <w:name w:val="envelope address"/>
    <w:basedOn w:val="a"/>
    <w:qFormat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qFormat/>
    <w:rPr>
      <w:rFonts w:ascii="Tahoma" w:hAnsi="Tahoma" w:cs="Tahoma"/>
      <w:sz w:val="16"/>
      <w:szCs w:val="16"/>
    </w:rPr>
  </w:style>
  <w:style w:type="paragraph" w:styleId="af1">
    <w:name w:val="toa heading"/>
    <w:basedOn w:val="a"/>
    <w:next w:val="a"/>
    <w:qFormat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qFormat/>
    <w:pPr>
      <w:spacing w:after="120"/>
    </w:pPr>
    <w:rPr>
      <w:rFonts w:cs="Simplified Arabic"/>
      <w:sz w:val="20"/>
      <w:szCs w:val="20"/>
    </w:rPr>
  </w:style>
  <w:style w:type="paragraph" w:styleId="61">
    <w:name w:val="index 6"/>
    <w:basedOn w:val="a"/>
    <w:next w:val="a"/>
    <w:qFormat/>
    <w:pPr>
      <w:ind w:left="1440" w:hanging="240"/>
    </w:pPr>
  </w:style>
  <w:style w:type="paragraph" w:styleId="af4">
    <w:name w:val="Salutation"/>
    <w:basedOn w:val="a"/>
    <w:next w:val="a"/>
    <w:link w:val="af5"/>
    <w:qFormat/>
    <w:rPr>
      <w:rFonts w:cs="Simplified Arabic"/>
    </w:rPr>
  </w:style>
  <w:style w:type="paragraph" w:styleId="32">
    <w:name w:val="Body Text 3"/>
    <w:basedOn w:val="a"/>
    <w:link w:val="33"/>
    <w:qFormat/>
    <w:pPr>
      <w:ind w:left="2160"/>
    </w:pPr>
    <w:rPr>
      <w:rFonts w:cs="Simplified Arabic"/>
      <w:lang w:eastAsia="en-GB"/>
    </w:rPr>
  </w:style>
  <w:style w:type="paragraph" w:styleId="af6">
    <w:name w:val="Closing"/>
    <w:basedOn w:val="a"/>
    <w:link w:val="af7"/>
    <w:qFormat/>
    <w:pPr>
      <w:ind w:left="4320"/>
    </w:pPr>
    <w:rPr>
      <w:rFonts w:cs="Simplified Arabic"/>
    </w:rPr>
  </w:style>
  <w:style w:type="paragraph" w:styleId="af8">
    <w:name w:val="Body Text Indent"/>
    <w:basedOn w:val="a"/>
    <w:link w:val="af9"/>
    <w:qFormat/>
    <w:pPr>
      <w:spacing w:after="120"/>
      <w:ind w:left="283"/>
    </w:pPr>
    <w:rPr>
      <w:rFonts w:cs="Simplified Arabic"/>
    </w:rPr>
  </w:style>
  <w:style w:type="paragraph" w:styleId="21">
    <w:name w:val="List 2"/>
    <w:basedOn w:val="a"/>
    <w:qFormat/>
    <w:pPr>
      <w:ind w:left="720" w:hanging="360"/>
      <w:contextualSpacing/>
    </w:pPr>
  </w:style>
  <w:style w:type="paragraph" w:styleId="afa">
    <w:name w:val="List Continue"/>
    <w:basedOn w:val="a"/>
    <w:qFormat/>
    <w:pPr>
      <w:spacing w:after="120"/>
      <w:ind w:left="360"/>
      <w:contextualSpacing/>
    </w:pPr>
  </w:style>
  <w:style w:type="paragraph" w:styleId="afb">
    <w:name w:val="Block Text"/>
    <w:basedOn w:val="a"/>
    <w:qFormat/>
    <w:pPr>
      <w:spacing w:after="120"/>
      <w:ind w:left="1440" w:right="1440"/>
    </w:pPr>
  </w:style>
  <w:style w:type="paragraph" w:styleId="HTML">
    <w:name w:val="HTML Address"/>
    <w:basedOn w:val="a"/>
    <w:link w:val="HTML0"/>
    <w:qFormat/>
    <w:rPr>
      <w:rFonts w:cs="Simplified Arabic"/>
      <w:i/>
      <w:iCs/>
    </w:rPr>
  </w:style>
  <w:style w:type="paragraph" w:styleId="41">
    <w:name w:val="index 4"/>
    <w:basedOn w:val="a"/>
    <w:next w:val="a"/>
    <w:qFormat/>
    <w:pPr>
      <w:ind w:left="960" w:hanging="240"/>
    </w:pPr>
  </w:style>
  <w:style w:type="paragraph" w:styleId="TOC5">
    <w:name w:val="toc 5"/>
    <w:basedOn w:val="a"/>
    <w:next w:val="a"/>
    <w:qFormat/>
    <w:pPr>
      <w:ind w:left="960"/>
    </w:pPr>
  </w:style>
  <w:style w:type="paragraph" w:styleId="TOC3">
    <w:name w:val="toc 3"/>
    <w:basedOn w:val="a"/>
    <w:next w:val="a"/>
    <w:qFormat/>
    <w:pPr>
      <w:ind w:left="480"/>
    </w:pPr>
  </w:style>
  <w:style w:type="paragraph" w:styleId="afc">
    <w:name w:val="Plain Text"/>
    <w:basedOn w:val="a"/>
    <w:link w:val="afd"/>
    <w:qFormat/>
    <w:rPr>
      <w:rFonts w:ascii="Courier New" w:hAnsi="Courier New" w:cs="Courier New"/>
      <w:sz w:val="20"/>
      <w:szCs w:val="20"/>
    </w:rPr>
  </w:style>
  <w:style w:type="paragraph" w:styleId="TOC8">
    <w:name w:val="toc 8"/>
    <w:basedOn w:val="a"/>
    <w:next w:val="a"/>
    <w:qFormat/>
    <w:pPr>
      <w:ind w:left="1680"/>
    </w:pPr>
  </w:style>
  <w:style w:type="paragraph" w:styleId="34">
    <w:name w:val="index 3"/>
    <w:basedOn w:val="a"/>
    <w:next w:val="a"/>
    <w:qFormat/>
    <w:pPr>
      <w:ind w:left="720" w:hanging="240"/>
    </w:pPr>
  </w:style>
  <w:style w:type="paragraph" w:styleId="afe">
    <w:name w:val="Date"/>
    <w:basedOn w:val="a"/>
    <w:next w:val="a"/>
    <w:link w:val="aff"/>
    <w:qFormat/>
    <w:rPr>
      <w:rFonts w:cs="Simplified Arabic"/>
    </w:rPr>
  </w:style>
  <w:style w:type="paragraph" w:styleId="22">
    <w:name w:val="Body Text Indent 2"/>
    <w:basedOn w:val="a"/>
    <w:link w:val="23"/>
    <w:qFormat/>
    <w:pPr>
      <w:spacing w:after="120"/>
      <w:ind w:left="360"/>
    </w:pPr>
    <w:rPr>
      <w:rFonts w:cs="Simplified Arabic"/>
    </w:rPr>
  </w:style>
  <w:style w:type="paragraph" w:styleId="aff0">
    <w:name w:val="endnote text"/>
    <w:basedOn w:val="a"/>
    <w:next w:val="a"/>
    <w:link w:val="aff1"/>
    <w:qFormat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2">
    <w:name w:val="List Continue 5"/>
    <w:basedOn w:val="a"/>
    <w:qFormat/>
    <w:pPr>
      <w:spacing w:after="120"/>
      <w:ind w:left="1800"/>
      <w:contextualSpacing/>
    </w:pPr>
  </w:style>
  <w:style w:type="paragraph" w:styleId="aff2">
    <w:name w:val="Balloon Text"/>
    <w:basedOn w:val="a"/>
    <w:link w:val="aff3"/>
    <w:qFormat/>
    <w:pPr>
      <w:spacing w:after="0"/>
    </w:pPr>
    <w:rPr>
      <w:rFonts w:ascii="Tahoma" w:hAnsi="Tahoma" w:cs="Tahoma"/>
      <w:sz w:val="16"/>
      <w:szCs w:val="16"/>
    </w:rPr>
  </w:style>
  <w:style w:type="paragraph" w:styleId="aff4">
    <w:name w:val="footer"/>
    <w:link w:val="aff5"/>
    <w:uiPriority w:val="99"/>
    <w:qFormat/>
    <w:rPr>
      <w:sz w:val="16"/>
      <w:szCs w:val="16"/>
      <w:lang w:val="en-GB" w:bidi="he-IL"/>
    </w:rPr>
  </w:style>
  <w:style w:type="paragraph" w:styleId="aff6">
    <w:name w:val="envelope return"/>
    <w:basedOn w:val="a"/>
    <w:qFormat/>
    <w:rPr>
      <w:rFonts w:cs="Simplified Arabic"/>
      <w:sz w:val="20"/>
      <w:szCs w:val="20"/>
    </w:rPr>
  </w:style>
  <w:style w:type="paragraph" w:styleId="aff7">
    <w:name w:val="header"/>
    <w:link w:val="aff8"/>
    <w:uiPriority w:val="99"/>
    <w:qFormat/>
    <w:pPr>
      <w:jc w:val="both"/>
    </w:pPr>
    <w:rPr>
      <w:sz w:val="24"/>
      <w:szCs w:val="24"/>
      <w:lang w:val="en-GB" w:bidi="he-IL"/>
    </w:rPr>
  </w:style>
  <w:style w:type="paragraph" w:styleId="aff9">
    <w:name w:val="Signature"/>
    <w:basedOn w:val="a"/>
    <w:link w:val="affa"/>
    <w:qFormat/>
    <w:pPr>
      <w:ind w:left="4320"/>
    </w:pPr>
    <w:rPr>
      <w:rFonts w:cs="Simplified Arabic"/>
    </w:rPr>
  </w:style>
  <w:style w:type="paragraph" w:styleId="TOC1">
    <w:name w:val="toc 1"/>
    <w:basedOn w:val="a"/>
    <w:next w:val="a0"/>
    <w:qFormat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qFormat/>
    <w:pPr>
      <w:spacing w:after="120"/>
      <w:ind w:left="1440"/>
      <w:contextualSpacing/>
    </w:pPr>
  </w:style>
  <w:style w:type="paragraph" w:styleId="TOC4">
    <w:name w:val="toc 4"/>
    <w:basedOn w:val="a"/>
    <w:next w:val="a"/>
    <w:qFormat/>
    <w:pPr>
      <w:ind w:left="720"/>
    </w:pPr>
  </w:style>
  <w:style w:type="paragraph" w:styleId="affb">
    <w:name w:val="index heading"/>
    <w:basedOn w:val="a"/>
    <w:next w:val="a"/>
    <w:qFormat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paragraph" w:styleId="affe">
    <w:name w:val="List"/>
    <w:basedOn w:val="a"/>
    <w:qFormat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qFormat/>
    <w:pPr>
      <w:spacing w:after="120"/>
      <w:ind w:left="340" w:hanging="340"/>
    </w:pPr>
    <w:rPr>
      <w:rFonts w:cs="Simplified Arabic"/>
      <w:sz w:val="20"/>
      <w:szCs w:val="20"/>
    </w:rPr>
  </w:style>
  <w:style w:type="paragraph" w:styleId="TOC6">
    <w:name w:val="toc 6"/>
    <w:basedOn w:val="a"/>
    <w:next w:val="a"/>
    <w:qFormat/>
    <w:pPr>
      <w:ind w:left="1200"/>
    </w:pPr>
  </w:style>
  <w:style w:type="paragraph" w:styleId="53">
    <w:name w:val="List 5"/>
    <w:basedOn w:val="a"/>
    <w:qFormat/>
    <w:pPr>
      <w:ind w:left="1800" w:hanging="360"/>
      <w:contextualSpacing/>
    </w:pPr>
  </w:style>
  <w:style w:type="paragraph" w:styleId="35">
    <w:name w:val="Body Text Indent 3"/>
    <w:basedOn w:val="a"/>
    <w:link w:val="36"/>
    <w:qFormat/>
    <w:pPr>
      <w:spacing w:after="120"/>
      <w:ind w:left="360"/>
    </w:pPr>
    <w:rPr>
      <w:rFonts w:cs="Simplified Arabic"/>
      <w:sz w:val="16"/>
      <w:szCs w:val="16"/>
    </w:rPr>
  </w:style>
  <w:style w:type="paragraph" w:styleId="71">
    <w:name w:val="index 7"/>
    <w:basedOn w:val="a"/>
    <w:next w:val="a"/>
    <w:qFormat/>
    <w:pPr>
      <w:ind w:left="1680" w:hanging="240"/>
    </w:pPr>
  </w:style>
  <w:style w:type="paragraph" w:styleId="91">
    <w:name w:val="index 9"/>
    <w:basedOn w:val="a"/>
    <w:next w:val="a"/>
    <w:qFormat/>
    <w:pPr>
      <w:ind w:left="2160" w:hanging="240"/>
    </w:pPr>
  </w:style>
  <w:style w:type="paragraph" w:styleId="afff1">
    <w:name w:val="table of figures"/>
    <w:basedOn w:val="a"/>
    <w:next w:val="a"/>
    <w:qFormat/>
  </w:style>
  <w:style w:type="paragraph" w:styleId="TOC2">
    <w:name w:val="toc 2"/>
    <w:basedOn w:val="a"/>
    <w:next w:val="a0"/>
    <w:qFormat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qFormat/>
    <w:pPr>
      <w:ind w:left="1920"/>
    </w:pPr>
  </w:style>
  <w:style w:type="paragraph" w:styleId="24">
    <w:name w:val="Body Text 2"/>
    <w:basedOn w:val="a"/>
    <w:link w:val="25"/>
    <w:qFormat/>
    <w:pPr>
      <w:ind w:left="1440"/>
    </w:pPr>
    <w:rPr>
      <w:rFonts w:cs="Simplified Arabic"/>
      <w:lang w:eastAsia="en-GB"/>
    </w:rPr>
  </w:style>
  <w:style w:type="paragraph" w:styleId="43">
    <w:name w:val="List 4"/>
    <w:basedOn w:val="a"/>
    <w:qFormat/>
    <w:pPr>
      <w:ind w:left="1440" w:hanging="360"/>
      <w:contextualSpacing/>
    </w:pPr>
  </w:style>
  <w:style w:type="paragraph" w:styleId="26">
    <w:name w:val="List Continue 2"/>
    <w:basedOn w:val="a"/>
    <w:qFormat/>
    <w:pPr>
      <w:spacing w:after="120"/>
      <w:ind w:left="720"/>
      <w:contextualSpacing/>
    </w:pPr>
  </w:style>
  <w:style w:type="paragraph" w:styleId="afff2">
    <w:name w:val="Message Header"/>
    <w:basedOn w:val="a"/>
    <w:link w:val="afff3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paragraph" w:styleId="HTML1">
    <w:name w:val="HTML Preformatted"/>
    <w:basedOn w:val="a"/>
    <w:link w:val="HTML2"/>
    <w:qFormat/>
    <w:rPr>
      <w:rFonts w:ascii="Courier New" w:hAnsi="Courier New" w:cs="Courier New"/>
      <w:sz w:val="20"/>
      <w:szCs w:val="20"/>
    </w:rPr>
  </w:style>
  <w:style w:type="paragraph" w:styleId="afff4">
    <w:name w:val="Normal (Web)"/>
    <w:basedOn w:val="a"/>
    <w:qFormat/>
  </w:style>
  <w:style w:type="paragraph" w:styleId="37">
    <w:name w:val="List Continue 3"/>
    <w:basedOn w:val="a"/>
    <w:qFormat/>
    <w:pPr>
      <w:spacing w:after="120"/>
      <w:ind w:left="1080"/>
      <w:contextualSpacing/>
    </w:pPr>
  </w:style>
  <w:style w:type="paragraph" w:styleId="11">
    <w:name w:val="index 1"/>
    <w:basedOn w:val="a"/>
    <w:next w:val="a"/>
    <w:qFormat/>
    <w:pPr>
      <w:ind w:left="240" w:hanging="240"/>
    </w:pPr>
  </w:style>
  <w:style w:type="paragraph" w:styleId="27">
    <w:name w:val="index 2"/>
    <w:basedOn w:val="a"/>
    <w:next w:val="a"/>
    <w:qFormat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paragraph" w:styleId="afff7">
    <w:name w:val="annotation subject"/>
    <w:basedOn w:val="af2"/>
    <w:next w:val="af2"/>
    <w:link w:val="afff8"/>
    <w:qFormat/>
    <w:pPr>
      <w:spacing w:after="240"/>
    </w:pPr>
    <w:rPr>
      <w:b/>
      <w:bCs/>
    </w:rPr>
  </w:style>
  <w:style w:type="paragraph" w:styleId="afff9">
    <w:name w:val="Body Text First Indent"/>
    <w:basedOn w:val="a0"/>
    <w:link w:val="afffa"/>
    <w:qFormat/>
    <w:pPr>
      <w:ind w:firstLine="720"/>
    </w:pPr>
  </w:style>
  <w:style w:type="paragraph" w:styleId="28">
    <w:name w:val="Body Text First Indent 2"/>
    <w:basedOn w:val="afff9"/>
    <w:link w:val="29"/>
    <w:qFormat/>
    <w:pPr>
      <w:ind w:firstLine="1440"/>
    </w:pPr>
  </w:style>
  <w:style w:type="table" w:styleId="afffb">
    <w:name w:val="Table Grid"/>
    <w:basedOn w:val="a2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qFormat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qFormat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qFormat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qFormat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qFormat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qFormat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qFormat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qFormat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qFormat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qFormat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qFormat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qFormat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qFormat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qFormat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qFormat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qFormat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qFormat/>
    <w:pPr>
      <w:spacing w:after="24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qFormat/>
    <w:pPr>
      <w:spacing w:after="24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qFormat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qFormat/>
    <w:pPr>
      <w:spacing w:after="24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qFormat/>
    <w:pPr>
      <w:spacing w:after="24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qFormat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qFormat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qFormat/>
    <w:pPr>
      <w:spacing w:after="24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qFormat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qFormat/>
    <w:pPr>
      <w:spacing w:after="24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qFormat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qFormat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qFormat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qFormat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qFormat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qFormat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qFormat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qFormat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31">
    <w:name w:val="Light Grid Accent 3"/>
    <w:basedOn w:val="a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41">
    <w:name w:val="Light Grid Accent 4"/>
    <w:basedOn w:val="a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51">
    <w:name w:val="Light Grid Accent 5"/>
    <w:basedOn w:val="a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61">
    <w:name w:val="Light Grid Accent 6"/>
    <w:basedOn w:val="a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1-2">
    <w:name w:val="Medium Shading 1 Accent 2"/>
    <w:basedOn w:val="a2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qFormat/>
    <w:rPr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qFormat/>
    <w:rPr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qFormat/>
    <w:rPr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qFormat/>
    <w:rPr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qFormat/>
    <w:rPr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qFormat/>
    <w:rPr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2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qFormat/>
    <w:rPr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qFormat/>
    <w:rPr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qFormat/>
    <w:rPr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qFormat/>
    <w:rPr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qFormat/>
    <w:rPr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qFormat/>
    <w:rPr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qFormat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qFormat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qFormat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qFormat/>
    <w:rPr>
      <w:color w:val="0000FF"/>
      <w:u w:val="single"/>
    </w:rPr>
  </w:style>
  <w:style w:type="character" w:styleId="affff6">
    <w:name w:val="annotation reference"/>
    <w:qFormat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qFormat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character" w:customStyle="1" w:styleId="a5">
    <w:name w:val="宏文本 字符"/>
    <w:link w:val="a4"/>
    <w:qFormat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qFormat/>
    <w:rPr>
      <w:sz w:val="24"/>
      <w:szCs w:val="24"/>
      <w:lang w:bidi="ar-AE"/>
    </w:rPr>
  </w:style>
  <w:style w:type="character" w:customStyle="1" w:styleId="20">
    <w:name w:val="标题 2 字符"/>
    <w:link w:val="2"/>
    <w:qFormat/>
    <w:rPr>
      <w:sz w:val="24"/>
      <w:szCs w:val="24"/>
      <w:lang w:bidi="ar-AE"/>
    </w:rPr>
  </w:style>
  <w:style w:type="character" w:customStyle="1" w:styleId="a6">
    <w:name w:val="正文文本 字符"/>
    <w:link w:val="a0"/>
    <w:qFormat/>
    <w:rPr>
      <w:sz w:val="24"/>
      <w:szCs w:val="24"/>
      <w:lang w:eastAsia="en-GB" w:bidi="ar-AE"/>
    </w:rPr>
  </w:style>
  <w:style w:type="character" w:customStyle="1" w:styleId="30">
    <w:name w:val="标题 3 字符"/>
    <w:link w:val="3"/>
    <w:qFormat/>
    <w:rPr>
      <w:sz w:val="24"/>
      <w:szCs w:val="24"/>
      <w:lang w:bidi="ar-AE"/>
    </w:rPr>
  </w:style>
  <w:style w:type="character" w:customStyle="1" w:styleId="40">
    <w:name w:val="标题 4 字符"/>
    <w:link w:val="4"/>
    <w:qFormat/>
    <w:rPr>
      <w:sz w:val="24"/>
      <w:szCs w:val="24"/>
      <w:lang w:bidi="ar-AE"/>
    </w:rPr>
  </w:style>
  <w:style w:type="character" w:customStyle="1" w:styleId="50">
    <w:name w:val="标题 5 字符"/>
    <w:link w:val="5"/>
    <w:qFormat/>
    <w:rPr>
      <w:sz w:val="24"/>
      <w:szCs w:val="24"/>
      <w:lang w:bidi="ar-AE"/>
    </w:rPr>
  </w:style>
  <w:style w:type="character" w:customStyle="1" w:styleId="60">
    <w:name w:val="标题 6 字符"/>
    <w:link w:val="6"/>
    <w:qFormat/>
    <w:rPr>
      <w:sz w:val="24"/>
      <w:szCs w:val="24"/>
      <w:lang w:bidi="ar-AE"/>
    </w:rPr>
  </w:style>
  <w:style w:type="character" w:customStyle="1" w:styleId="70">
    <w:name w:val="标题 7 字符"/>
    <w:link w:val="7"/>
    <w:qFormat/>
    <w:rPr>
      <w:sz w:val="24"/>
      <w:szCs w:val="24"/>
      <w:lang w:bidi="ar-AE"/>
    </w:rPr>
  </w:style>
  <w:style w:type="character" w:customStyle="1" w:styleId="80">
    <w:name w:val="标题 8 字符"/>
    <w:link w:val="8"/>
    <w:qFormat/>
    <w:rPr>
      <w:sz w:val="24"/>
      <w:szCs w:val="24"/>
      <w:lang w:bidi="ar-AE"/>
    </w:rPr>
  </w:style>
  <w:style w:type="character" w:customStyle="1" w:styleId="90">
    <w:name w:val="标题 9 字符"/>
    <w:link w:val="9"/>
    <w:qFormat/>
    <w:rPr>
      <w:sz w:val="24"/>
      <w:szCs w:val="24"/>
      <w:lang w:bidi="ar-AE"/>
    </w:rPr>
  </w:style>
  <w:style w:type="character" w:customStyle="1" w:styleId="a9">
    <w:name w:val="注释标题 字符"/>
    <w:link w:val="a8"/>
    <w:qFormat/>
    <w:rPr>
      <w:sz w:val="24"/>
      <w:szCs w:val="24"/>
      <w:lang w:bidi="ar-AE"/>
    </w:rPr>
  </w:style>
  <w:style w:type="character" w:customStyle="1" w:styleId="ab">
    <w:name w:val="电子邮件签名 字符"/>
    <w:link w:val="aa"/>
    <w:qFormat/>
    <w:rPr>
      <w:sz w:val="24"/>
      <w:szCs w:val="24"/>
      <w:lang w:bidi="ar-AE"/>
    </w:rPr>
  </w:style>
  <w:style w:type="character" w:customStyle="1" w:styleId="af0">
    <w:name w:val="文档结构图 字符"/>
    <w:link w:val="af"/>
    <w:qFormat/>
    <w:rPr>
      <w:rFonts w:ascii="Tahoma" w:hAnsi="Tahoma" w:cs="Tahoma"/>
      <w:sz w:val="16"/>
      <w:szCs w:val="16"/>
      <w:lang w:bidi="ar-AE"/>
    </w:rPr>
  </w:style>
  <w:style w:type="character" w:customStyle="1" w:styleId="af3">
    <w:name w:val="批注文字 字符"/>
    <w:link w:val="af2"/>
    <w:qFormat/>
    <w:rPr>
      <w:lang w:bidi="ar-AE"/>
    </w:rPr>
  </w:style>
  <w:style w:type="character" w:customStyle="1" w:styleId="af5">
    <w:name w:val="称呼 字符"/>
    <w:link w:val="af4"/>
    <w:qFormat/>
    <w:rPr>
      <w:sz w:val="24"/>
      <w:szCs w:val="24"/>
      <w:lang w:bidi="ar-AE"/>
    </w:rPr>
  </w:style>
  <w:style w:type="character" w:customStyle="1" w:styleId="33">
    <w:name w:val="正文文本 3 字符"/>
    <w:link w:val="32"/>
    <w:qFormat/>
    <w:rPr>
      <w:sz w:val="24"/>
      <w:szCs w:val="24"/>
      <w:lang w:eastAsia="en-GB" w:bidi="ar-AE"/>
    </w:rPr>
  </w:style>
  <w:style w:type="character" w:customStyle="1" w:styleId="af7">
    <w:name w:val="结束语 字符"/>
    <w:link w:val="af6"/>
    <w:qFormat/>
    <w:rPr>
      <w:sz w:val="24"/>
      <w:szCs w:val="24"/>
      <w:lang w:bidi="ar-AE"/>
    </w:rPr>
  </w:style>
  <w:style w:type="character" w:customStyle="1" w:styleId="af9">
    <w:name w:val="正文文本缩进 字符"/>
    <w:link w:val="af8"/>
    <w:qFormat/>
    <w:rPr>
      <w:sz w:val="24"/>
      <w:szCs w:val="24"/>
      <w:lang w:bidi="ar-AE"/>
    </w:rPr>
  </w:style>
  <w:style w:type="character" w:customStyle="1" w:styleId="HTML0">
    <w:name w:val="HTML 地址 字符"/>
    <w:link w:val="HTML"/>
    <w:qFormat/>
    <w:rPr>
      <w:i/>
      <w:iCs/>
      <w:sz w:val="24"/>
      <w:szCs w:val="24"/>
      <w:lang w:bidi="ar-AE"/>
    </w:rPr>
  </w:style>
  <w:style w:type="character" w:customStyle="1" w:styleId="afd">
    <w:name w:val="纯文本 字符"/>
    <w:link w:val="afc"/>
    <w:qFormat/>
    <w:rPr>
      <w:rFonts w:ascii="Courier New" w:hAnsi="Courier New" w:cs="Courier New"/>
      <w:lang w:bidi="ar-AE"/>
    </w:rPr>
  </w:style>
  <w:style w:type="character" w:customStyle="1" w:styleId="aff">
    <w:name w:val="日期 字符"/>
    <w:link w:val="afe"/>
    <w:qFormat/>
    <w:rPr>
      <w:sz w:val="24"/>
      <w:szCs w:val="24"/>
      <w:lang w:bidi="ar-AE"/>
    </w:rPr>
  </w:style>
  <w:style w:type="character" w:customStyle="1" w:styleId="23">
    <w:name w:val="正文文本缩进 2 字符"/>
    <w:link w:val="22"/>
    <w:qFormat/>
    <w:rPr>
      <w:sz w:val="24"/>
      <w:szCs w:val="24"/>
      <w:lang w:bidi="ar-AE"/>
    </w:rPr>
  </w:style>
  <w:style w:type="character" w:customStyle="1" w:styleId="aff1">
    <w:name w:val="尾注文本 字符"/>
    <w:link w:val="aff0"/>
    <w:qFormat/>
    <w:rPr>
      <w:lang w:bidi="ar-AE"/>
    </w:rPr>
  </w:style>
  <w:style w:type="character" w:customStyle="1" w:styleId="aff3">
    <w:name w:val="批注框文本 字符"/>
    <w:link w:val="aff2"/>
    <w:qFormat/>
    <w:rPr>
      <w:rFonts w:ascii="Tahoma" w:hAnsi="Tahoma" w:cs="Tahoma"/>
      <w:sz w:val="16"/>
      <w:szCs w:val="16"/>
      <w:lang w:bidi="ar-AE"/>
    </w:rPr>
  </w:style>
  <w:style w:type="character" w:customStyle="1" w:styleId="aff5">
    <w:name w:val="页脚 字符"/>
    <w:link w:val="aff4"/>
    <w:uiPriority w:val="99"/>
    <w:qFormat/>
    <w:rPr>
      <w:sz w:val="16"/>
      <w:szCs w:val="16"/>
      <w:lang w:val="en-GB" w:eastAsia="zh-CN" w:bidi="he-IL"/>
    </w:rPr>
  </w:style>
  <w:style w:type="character" w:customStyle="1" w:styleId="aff8">
    <w:name w:val="页眉 字符"/>
    <w:link w:val="aff7"/>
    <w:uiPriority w:val="99"/>
    <w:qFormat/>
    <w:rPr>
      <w:sz w:val="24"/>
      <w:szCs w:val="24"/>
      <w:lang w:val="en-GB" w:eastAsia="zh-CN" w:bidi="he-IL"/>
    </w:rPr>
  </w:style>
  <w:style w:type="character" w:customStyle="1" w:styleId="affa">
    <w:name w:val="签名 字符"/>
    <w:link w:val="aff9"/>
    <w:qFormat/>
    <w:rPr>
      <w:sz w:val="24"/>
      <w:szCs w:val="24"/>
      <w:lang w:bidi="ar-AE"/>
    </w:rPr>
  </w:style>
  <w:style w:type="character" w:customStyle="1" w:styleId="affd">
    <w:name w:val="副标题 字符"/>
    <w:link w:val="affc"/>
    <w:qFormat/>
    <w:rPr>
      <w:sz w:val="24"/>
      <w:szCs w:val="24"/>
      <w:lang w:bidi="ar-AE"/>
    </w:rPr>
  </w:style>
  <w:style w:type="character" w:customStyle="1" w:styleId="afff0">
    <w:name w:val="脚注文本 字符"/>
    <w:link w:val="afff"/>
    <w:qFormat/>
    <w:rPr>
      <w:lang w:bidi="ar-AE"/>
    </w:rPr>
  </w:style>
  <w:style w:type="character" w:customStyle="1" w:styleId="36">
    <w:name w:val="正文文本缩进 3 字符"/>
    <w:link w:val="35"/>
    <w:qFormat/>
    <w:rPr>
      <w:sz w:val="16"/>
      <w:szCs w:val="16"/>
      <w:lang w:bidi="ar-AE"/>
    </w:rPr>
  </w:style>
  <w:style w:type="character" w:customStyle="1" w:styleId="25">
    <w:name w:val="正文文本 2 字符"/>
    <w:link w:val="24"/>
    <w:qFormat/>
    <w:rPr>
      <w:sz w:val="24"/>
      <w:szCs w:val="24"/>
      <w:lang w:eastAsia="en-GB" w:bidi="ar-AE"/>
    </w:rPr>
  </w:style>
  <w:style w:type="character" w:customStyle="1" w:styleId="afff3">
    <w:name w:val="信息标题 字符"/>
    <w:link w:val="afff2"/>
    <w:qFormat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character" w:customStyle="1" w:styleId="HTML2">
    <w:name w:val="HTML 预设格式 字符"/>
    <w:link w:val="HTML1"/>
    <w:qFormat/>
    <w:rPr>
      <w:rFonts w:ascii="Courier New" w:hAnsi="Courier New" w:cs="Courier New"/>
      <w:lang w:bidi="ar-AE"/>
    </w:rPr>
  </w:style>
  <w:style w:type="character" w:customStyle="1" w:styleId="afff6">
    <w:name w:val="标题 字符"/>
    <w:link w:val="afff5"/>
    <w:qFormat/>
    <w:rPr>
      <w:b/>
      <w:bCs/>
      <w:sz w:val="24"/>
      <w:szCs w:val="24"/>
      <w:lang w:bidi="ar-AE"/>
    </w:rPr>
  </w:style>
  <w:style w:type="character" w:customStyle="1" w:styleId="afff8">
    <w:name w:val="批注主题 字符"/>
    <w:link w:val="afff7"/>
    <w:qFormat/>
    <w:rPr>
      <w:b/>
      <w:bCs/>
      <w:lang w:bidi="ar-AE"/>
    </w:rPr>
  </w:style>
  <w:style w:type="character" w:customStyle="1" w:styleId="afffa">
    <w:name w:val="正文文本首行缩进 字符"/>
    <w:link w:val="afff9"/>
    <w:qFormat/>
    <w:rPr>
      <w:sz w:val="24"/>
      <w:szCs w:val="24"/>
      <w:lang w:eastAsia="en-GB" w:bidi="ar-AE"/>
    </w:rPr>
  </w:style>
  <w:style w:type="character" w:customStyle="1" w:styleId="29">
    <w:name w:val="正文文本首行缩进 2 字符"/>
    <w:link w:val="28"/>
    <w:qFormat/>
    <w:rPr>
      <w:sz w:val="24"/>
      <w:szCs w:val="24"/>
      <w:lang w:eastAsia="en-GB" w:bidi="ar-AE"/>
    </w:rPr>
  </w:style>
  <w:style w:type="paragraph" w:customStyle="1" w:styleId="BodyText1">
    <w:name w:val="Body Text 1"/>
    <w:basedOn w:val="a"/>
    <w:qFormat/>
    <w:pPr>
      <w:ind w:left="720"/>
    </w:pPr>
    <w:rPr>
      <w:lang w:eastAsia="en-GB"/>
    </w:rPr>
  </w:style>
  <w:style w:type="paragraph" w:customStyle="1" w:styleId="BodyText4">
    <w:name w:val="Body Text 4"/>
    <w:basedOn w:val="a"/>
    <w:qFormat/>
    <w:pPr>
      <w:ind w:left="2880"/>
    </w:pPr>
    <w:rPr>
      <w:lang w:eastAsia="en-GB"/>
    </w:rPr>
  </w:style>
  <w:style w:type="paragraph" w:customStyle="1" w:styleId="BodyText5">
    <w:name w:val="Body Text 5"/>
    <w:basedOn w:val="a"/>
    <w:qFormat/>
    <w:pPr>
      <w:ind w:left="3600"/>
    </w:pPr>
    <w:rPr>
      <w:lang w:eastAsia="en-GB"/>
    </w:rPr>
  </w:style>
  <w:style w:type="paragraph" w:customStyle="1" w:styleId="BodyText6">
    <w:name w:val="Body Text 6"/>
    <w:basedOn w:val="a"/>
    <w:qFormat/>
    <w:pPr>
      <w:ind w:left="4320"/>
    </w:pPr>
    <w:rPr>
      <w:lang w:eastAsia="en-GB"/>
    </w:rPr>
  </w:style>
  <w:style w:type="paragraph" w:customStyle="1" w:styleId="BodyText7">
    <w:name w:val="Body Text 7"/>
    <w:basedOn w:val="a"/>
    <w:qFormat/>
    <w:pPr>
      <w:ind w:left="5041"/>
    </w:pPr>
    <w:rPr>
      <w:lang w:eastAsia="en-GB"/>
    </w:rPr>
  </w:style>
  <w:style w:type="paragraph" w:customStyle="1" w:styleId="FooterRight">
    <w:name w:val="Footer Right"/>
    <w:basedOn w:val="aff4"/>
    <w:qFormat/>
    <w:pPr>
      <w:jc w:val="right"/>
    </w:pPr>
  </w:style>
  <w:style w:type="paragraph" w:customStyle="1" w:styleId="Footnote">
    <w:name w:val="Footnote"/>
    <w:basedOn w:val="afff"/>
    <w:qFormat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qFormat/>
    <w:rPr>
      <w:b/>
      <w:bCs/>
    </w:rPr>
  </w:style>
  <w:style w:type="paragraph" w:customStyle="1" w:styleId="NormalBoldNS">
    <w:name w:val="NormalBoldNS"/>
    <w:basedOn w:val="a"/>
    <w:next w:val="a"/>
    <w:qFormat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qFormat/>
    <w:pPr>
      <w:spacing w:after="0"/>
    </w:pPr>
  </w:style>
  <w:style w:type="paragraph" w:customStyle="1" w:styleId="NormalRight">
    <w:name w:val="NormalRight"/>
    <w:basedOn w:val="NormalNS"/>
    <w:qFormat/>
    <w:pPr>
      <w:jc w:val="right"/>
    </w:pPr>
  </w:style>
  <w:style w:type="paragraph" w:customStyle="1" w:styleId="NoteContinuation">
    <w:name w:val="Note Continuation"/>
    <w:basedOn w:val="a"/>
    <w:qFormat/>
    <w:pPr>
      <w:spacing w:after="120"/>
      <w:ind w:left="340"/>
    </w:pPr>
    <w:rPr>
      <w:sz w:val="20"/>
      <w:szCs w:val="20"/>
    </w:rPr>
  </w:style>
  <w:style w:type="paragraph" w:customStyle="1" w:styleId="TOC10">
    <w:name w:val="TOC 标题1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qFormat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qFormat/>
    <w:pPr>
      <w:spacing w:after="240"/>
    </w:pPr>
  </w:style>
  <w:style w:type="paragraph" w:customStyle="1" w:styleId="SubTitle0">
    <w:name w:val="SubTitle0"/>
    <w:basedOn w:val="affc"/>
    <w:qFormat/>
    <w:pPr>
      <w:spacing w:after="0"/>
    </w:pPr>
  </w:style>
  <w:style w:type="paragraph" w:customStyle="1" w:styleId="OptionLabel">
    <w:name w:val="OptionLabel"/>
    <w:qFormat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qFormat/>
    <w:pPr>
      <w:jc w:val="left"/>
    </w:pPr>
  </w:style>
  <w:style w:type="paragraph" w:customStyle="1" w:styleId="1b">
    <w:name w:val="书目1"/>
    <w:basedOn w:val="a"/>
    <w:next w:val="a"/>
    <w:qFormat/>
  </w:style>
  <w:style w:type="table" w:customStyle="1" w:styleId="ColorfulGrid1">
    <w:name w:val="Colorful Grid1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qFormat/>
    <w:rPr>
      <w:color w:val="000000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qFormat/>
    <w:rPr>
      <w:color w:val="FFFFFF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a">
    <w:name w:val="Intense Quote"/>
    <w:basedOn w:val="a"/>
    <w:next w:val="a"/>
    <w:link w:val="affffb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b">
    <w:name w:val="明显引用 字符"/>
    <w:link w:val="affffa"/>
    <w:qFormat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LightList1">
    <w:name w:val="Light List1"/>
    <w:basedOn w:val="a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qFormat/>
    <w:rPr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qFormat/>
    <w:rPr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c">
    <w:name w:val="Quote"/>
    <w:basedOn w:val="a"/>
    <w:next w:val="a"/>
    <w:link w:val="affffd"/>
    <w:qFormat/>
    <w:rPr>
      <w:rFonts w:cs="Simplified Arabic"/>
      <w:i/>
      <w:iCs/>
      <w:color w:val="000000"/>
    </w:rPr>
  </w:style>
  <w:style w:type="character" w:customStyle="1" w:styleId="affffd">
    <w:name w:val="引用 字符"/>
    <w:link w:val="affffc"/>
    <w:qFormat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qFormat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qFormat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qFormat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qFormat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qFormat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qFormat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qFormat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qFormat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qFormat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qFormat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qFormat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BulletL9Char">
    <w:name w:val="Bullet L9 Char"/>
    <w:link w:val="BulletL9"/>
    <w:qFormat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qFormat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BulletL8Char">
    <w:name w:val="Bullet L8 Char"/>
    <w:link w:val="BulletL8"/>
    <w:qFormat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qFormat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BulletL7Char">
    <w:name w:val="Bullet L7 Char"/>
    <w:link w:val="BulletL7"/>
    <w:qFormat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qFormat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BulletL6Char">
    <w:name w:val="Bullet L6 Char"/>
    <w:link w:val="BulletL6"/>
    <w:qFormat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qFormat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BulletL5Char">
    <w:name w:val="Bullet L5 Char"/>
    <w:link w:val="BulletL5"/>
    <w:qFormat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qFormat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BulletL4Char">
    <w:name w:val="Bullet L4 Char"/>
    <w:link w:val="BulletL4"/>
    <w:qFormat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qFormat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BulletL3Char">
    <w:name w:val="Bullet L3 Char"/>
    <w:link w:val="BulletL3"/>
    <w:qFormat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qFormat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BulletL2Char">
    <w:name w:val="Bullet L2 Char"/>
    <w:link w:val="BulletL2"/>
    <w:qFormat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qFormat/>
    <w:pPr>
      <w:numPr>
        <w:numId w:val="2"/>
      </w:numPr>
      <w:outlineLvl w:val="0"/>
    </w:pPr>
    <w:rPr>
      <w:rFonts w:cs="Simplified Arabic"/>
    </w:rPr>
  </w:style>
  <w:style w:type="character" w:customStyle="1" w:styleId="BulletL1Char">
    <w:name w:val="Bullet L1 Char"/>
    <w:link w:val="BulletL1"/>
    <w:qFormat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qFormat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qFormat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qFormat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qFormat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qFormat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qFormat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qFormat/>
    <w:pPr>
      <w:keepNext/>
      <w:numPr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qFormat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qFormat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1c">
    <w:name w:val="修订1"/>
    <w:hidden/>
    <w:uiPriority w:val="99"/>
    <w:unhideWhenUsed/>
    <w:qFormat/>
    <w:rPr>
      <w:sz w:val="24"/>
      <w:szCs w:val="24"/>
      <w:lang w:val="en-GB" w:bidi="ar-AE"/>
    </w:rPr>
  </w:style>
  <w:style w:type="paragraph" w:styleId="affffe">
    <w:name w:val="Revision"/>
    <w:hidden/>
    <w:uiPriority w:val="99"/>
    <w:semiHidden/>
    <w:rsid w:val="00926651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56561F5-B198-4E42-B12E-931A39EED3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ZL</dc:creator>
  <cp:lastModifiedBy>ZL</cp:lastModifiedBy>
  <cp:revision>2</cp:revision>
  <cp:lastPrinted>2023-11-09T17:56:00Z</cp:lastPrinted>
  <dcterms:created xsi:type="dcterms:W3CDTF">2024-01-03T06:18:00Z</dcterms:created>
  <dcterms:modified xsi:type="dcterms:W3CDTF">2024-01-03T06:18:00Z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