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eastAsia="黑体"/>
          <w:bCs/>
          <w:sz w:val="36"/>
          <w:szCs w:val="36"/>
        </w:rPr>
      </w:pPr>
      <w:r>
        <w:rPr>
          <w:rFonts w:eastAsia="黑体"/>
          <w:bCs/>
          <w:sz w:val="36"/>
          <w:szCs w:val="36"/>
        </w:rPr>
        <w:t>经营者集中简易案件公示表</w:t>
      </w:r>
    </w:p>
    <w:tbl>
      <w:tblPr>
        <w:tblStyle w:val="9"/>
        <w:tblW w:w="9102" w:type="dxa"/>
        <w:tblInd w:w="-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0"/>
        <w:gridCol w:w="1607"/>
        <w:gridCol w:w="55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6" w:hRule="atLeast"/>
        </w:trPr>
        <w:tc>
          <w:tcPr>
            <w:tcW w:w="1940" w:type="dxa"/>
            <w:tcBorders>
              <w:top w:val="single" w:color="auto" w:sz="4" w:space="0"/>
              <w:left w:val="single" w:color="auto" w:sz="4" w:space="0"/>
              <w:bottom w:val="single" w:color="auto" w:sz="4" w:space="0"/>
              <w:right w:val="single" w:color="auto" w:sz="4" w:space="0"/>
            </w:tcBorders>
            <w:shd w:val="clear" w:color="auto" w:fill="D9D9D9"/>
            <w:vAlign w:val="center"/>
          </w:tcPr>
          <w:p>
            <w:pPr>
              <w:pStyle w:val="4"/>
              <w:widowControl w:val="0"/>
              <w:autoSpaceDE w:val="0"/>
              <w:adjustRightInd w:val="0"/>
              <w:snapToGrid w:val="0"/>
              <w:spacing w:after="0"/>
              <w:rPr>
                <w:rFonts w:cs="Times New Roman"/>
                <w:bCs/>
                <w:color w:val="000000"/>
              </w:rPr>
            </w:pPr>
            <w:r>
              <w:rPr>
                <w:rFonts w:cs="Times New Roman"/>
                <w:bCs/>
                <w:color w:val="000000"/>
              </w:rPr>
              <w:t>案件名称</w:t>
            </w:r>
          </w:p>
        </w:tc>
        <w:tc>
          <w:tcPr>
            <w:tcW w:w="7162" w:type="dxa"/>
            <w:gridSpan w:val="2"/>
            <w:tcBorders>
              <w:top w:val="single" w:color="auto" w:sz="4" w:space="0"/>
              <w:left w:val="single" w:color="auto" w:sz="4" w:space="0"/>
              <w:bottom w:val="single" w:color="auto" w:sz="4" w:space="0"/>
              <w:right w:val="single" w:color="auto" w:sz="4" w:space="0"/>
            </w:tcBorders>
            <w:vAlign w:val="center"/>
          </w:tcPr>
          <w:p>
            <w:pPr>
              <w:widowControl w:val="0"/>
              <w:autoSpaceDE w:val="0"/>
              <w:adjustRightInd w:val="0"/>
              <w:snapToGrid w:val="0"/>
              <w:spacing w:after="0"/>
              <w:rPr>
                <w:bCs/>
                <w:color w:val="000000"/>
              </w:rPr>
            </w:pPr>
            <w:r>
              <w:rPr>
                <w:rFonts w:hint="eastAsia"/>
              </w:rPr>
              <w:t>广州泉秀房地产开发有限公司收购广州市品鑫房地产开发有限公司股权案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91" w:hRule="atLeast"/>
        </w:trPr>
        <w:tc>
          <w:tcPr>
            <w:tcW w:w="1940" w:type="dxa"/>
            <w:tcBorders>
              <w:top w:val="single" w:color="auto" w:sz="4" w:space="0"/>
              <w:left w:val="single" w:color="auto" w:sz="4" w:space="0"/>
              <w:bottom w:val="single" w:color="auto" w:sz="4" w:space="0"/>
              <w:right w:val="single" w:color="auto" w:sz="4" w:space="0"/>
            </w:tcBorders>
            <w:shd w:val="clear" w:color="auto" w:fill="D9D9D9"/>
            <w:vAlign w:val="center"/>
          </w:tcPr>
          <w:p>
            <w:pPr>
              <w:pStyle w:val="4"/>
              <w:widowControl w:val="0"/>
              <w:autoSpaceDE w:val="0"/>
              <w:adjustRightInd w:val="0"/>
              <w:snapToGrid w:val="0"/>
              <w:spacing w:after="0"/>
              <w:rPr>
                <w:rFonts w:cs="Times New Roman"/>
                <w:bCs/>
                <w:color w:val="000000"/>
              </w:rPr>
            </w:pPr>
            <w:r>
              <w:rPr>
                <w:rFonts w:cs="Times New Roman"/>
                <w:bCs/>
                <w:color w:val="000000"/>
              </w:rPr>
              <w:t>交易概况（限200字内）</w:t>
            </w:r>
          </w:p>
        </w:tc>
        <w:tc>
          <w:tcPr>
            <w:tcW w:w="7162" w:type="dxa"/>
            <w:gridSpan w:val="2"/>
            <w:tcBorders>
              <w:top w:val="single" w:color="auto" w:sz="4" w:space="0"/>
              <w:left w:val="single" w:color="auto" w:sz="4" w:space="0"/>
              <w:bottom w:val="single" w:color="auto" w:sz="4" w:space="0"/>
              <w:right w:val="single" w:color="auto" w:sz="4" w:space="0"/>
            </w:tcBorders>
            <w:vAlign w:val="center"/>
          </w:tcPr>
          <w:p>
            <w:pPr>
              <w:widowControl w:val="0"/>
              <w:autoSpaceDE w:val="0"/>
              <w:adjustRightInd w:val="0"/>
              <w:snapToGrid w:val="0"/>
              <w:spacing w:after="0"/>
            </w:pPr>
            <w:r>
              <w:rPr>
                <w:rFonts w:hint="eastAsia"/>
              </w:rPr>
              <w:t>广州地铁集团有限公司</w:t>
            </w:r>
            <w:r>
              <w:rPr>
                <w:rFonts w:hint="eastAsia"/>
                <w:lang w:eastAsia="zh-CN"/>
              </w:rPr>
              <w:t>（“</w:t>
            </w:r>
            <w:r>
              <w:rPr>
                <w:rFonts w:hint="eastAsia"/>
                <w:lang w:val="en-US" w:eastAsia="zh-CN"/>
              </w:rPr>
              <w:t>广州地铁</w:t>
            </w:r>
            <w:r>
              <w:rPr>
                <w:rFonts w:hint="eastAsia"/>
                <w:lang w:eastAsia="zh-CN"/>
              </w:rPr>
              <w:t>”）</w:t>
            </w:r>
            <w:r>
              <w:rPr>
                <w:rFonts w:hint="eastAsia"/>
                <w:lang w:val="en-US" w:eastAsia="zh-CN"/>
              </w:rPr>
              <w:t>与</w:t>
            </w:r>
            <w:r>
              <w:rPr>
                <w:rFonts w:hint="eastAsia"/>
              </w:rPr>
              <w:t>广州越秀集团股份有限公司</w:t>
            </w:r>
            <w:r>
              <w:rPr>
                <w:rFonts w:hint="eastAsia"/>
                <w:lang w:eastAsia="zh-CN"/>
              </w:rPr>
              <w:t>（“</w:t>
            </w:r>
            <w:r>
              <w:rPr>
                <w:rFonts w:hint="eastAsia"/>
                <w:lang w:val="en-US" w:eastAsia="zh-CN"/>
              </w:rPr>
              <w:t>越秀集团</w:t>
            </w:r>
            <w:r>
              <w:rPr>
                <w:rFonts w:hint="eastAsia"/>
                <w:lang w:eastAsia="zh-CN"/>
              </w:rPr>
              <w:t>”）、</w:t>
            </w:r>
            <w:r>
              <w:rPr>
                <w:rFonts w:hint="eastAsia"/>
              </w:rPr>
              <w:t>广州泉秀房地产开发有限公司</w:t>
            </w:r>
            <w:r>
              <w:rPr>
                <w:rFonts w:hint="eastAsia"/>
                <w:lang w:eastAsia="zh-CN"/>
              </w:rPr>
              <w:t>（“</w:t>
            </w:r>
            <w:r>
              <w:rPr>
                <w:rFonts w:hint="eastAsia"/>
                <w:lang w:val="en-US" w:eastAsia="zh-CN"/>
              </w:rPr>
              <w:t>泉秀地产</w:t>
            </w:r>
            <w:r>
              <w:rPr>
                <w:rFonts w:hint="eastAsia"/>
                <w:lang w:eastAsia="zh-CN"/>
              </w:rPr>
              <w:t>”）</w:t>
            </w:r>
            <w:r>
              <w:rPr>
                <w:rFonts w:hint="eastAsia"/>
                <w:lang w:val="en-US" w:eastAsia="zh-CN"/>
              </w:rPr>
              <w:t>签署协议，由</w:t>
            </w:r>
            <w:r>
              <w:rPr>
                <w:rFonts w:hint="eastAsia"/>
              </w:rPr>
              <w:t>泉秀地产受让广州地铁持有的品鑫地产20%的股权。</w:t>
            </w:r>
            <w:r>
              <w:rPr>
                <w:rFonts w:hint="eastAsia"/>
                <w:lang w:val="en-US" w:eastAsia="zh-CN"/>
              </w:rPr>
              <w:t>品鑫地产主要从事商品住宅、写字楼和</w:t>
            </w:r>
            <w:r>
              <w:rPr>
                <w:rFonts w:hint="eastAsia" w:cs="Times New Roman"/>
                <w:bCs/>
                <w:color w:val="000000"/>
                <w:lang w:val="en-US" w:eastAsia="zh-CN"/>
              </w:rPr>
              <w:t>大型零售商业地产的开发和销售业务。</w:t>
            </w:r>
            <w:r>
              <w:rPr>
                <w:rFonts w:hint="eastAsia"/>
              </w:rPr>
              <w:t>交易前，广州地铁</w:t>
            </w:r>
            <w:r>
              <w:rPr>
                <w:rFonts w:hint="eastAsia"/>
                <w:lang w:val="en-US" w:eastAsia="zh-CN"/>
              </w:rPr>
              <w:t>持有品鑫地产100%股权，单独控制品鑫地产</w:t>
            </w:r>
            <w:r>
              <w:rPr>
                <w:rFonts w:hint="eastAsia"/>
              </w:rPr>
              <w:t>。交易后，广州地铁</w:t>
            </w:r>
            <w:r>
              <w:rPr>
                <w:rFonts w:hint="eastAsia"/>
                <w:lang w:val="en-US" w:eastAsia="zh-CN"/>
              </w:rPr>
              <w:t>和泉秀地产分别</w:t>
            </w:r>
            <w:r>
              <w:rPr>
                <w:rFonts w:hint="eastAsia"/>
              </w:rPr>
              <w:t>持有</w:t>
            </w:r>
            <w:r>
              <w:rPr>
                <w:rFonts w:hint="eastAsia"/>
                <w:lang w:eastAsia="zh-CN"/>
              </w:rPr>
              <w:t>品鑫</w:t>
            </w:r>
            <w:r>
              <w:rPr>
                <w:rFonts w:hint="eastAsia"/>
                <w:lang w:val="en-US" w:eastAsia="zh-CN"/>
              </w:rPr>
              <w:t>地产8</w:t>
            </w:r>
            <w:r>
              <w:rPr>
                <w:rFonts w:hint="eastAsia"/>
              </w:rPr>
              <w:t>0%</w:t>
            </w:r>
            <w:r>
              <w:rPr>
                <w:rFonts w:hint="eastAsia"/>
                <w:lang w:val="en-US" w:eastAsia="zh-CN"/>
              </w:rPr>
              <w:t>和20%</w:t>
            </w:r>
            <w:r>
              <w:rPr>
                <w:rFonts w:hint="eastAsia"/>
              </w:rPr>
              <w:t>股权</w:t>
            </w:r>
            <w:r>
              <w:rPr>
                <w:rFonts w:hint="eastAsia"/>
                <w:lang w:eastAsia="zh-CN"/>
              </w:rPr>
              <w:t>，</w:t>
            </w:r>
            <w:r>
              <w:rPr>
                <w:rFonts w:hint="eastAsia"/>
                <w:lang w:val="en-US" w:eastAsia="zh-CN"/>
              </w:rPr>
              <w:t>共同</w:t>
            </w:r>
            <w:r>
              <w:rPr>
                <w:rFonts w:hint="eastAsia"/>
              </w:rPr>
              <w:t>控制</w:t>
            </w:r>
            <w:r>
              <w:rPr>
                <w:rFonts w:hint="eastAsia"/>
                <w:lang w:val="en-US" w:eastAsia="zh-CN"/>
              </w:rPr>
              <w:t>品鑫地产</w:t>
            </w:r>
            <w:r>
              <w:rPr>
                <w:rFonts w:hint="eastAsia"/>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2" w:hRule="atLeast"/>
        </w:trPr>
        <w:tc>
          <w:tcPr>
            <w:tcW w:w="1940" w:type="dxa"/>
            <w:vMerge w:val="restart"/>
            <w:tcBorders>
              <w:top w:val="nil"/>
              <w:left w:val="single" w:color="auto" w:sz="4" w:space="0"/>
              <w:right w:val="single" w:color="auto" w:sz="4" w:space="0"/>
            </w:tcBorders>
            <w:shd w:val="clear" w:color="auto" w:fill="D9D9D9"/>
            <w:vAlign w:val="center"/>
          </w:tcPr>
          <w:p>
            <w:pPr>
              <w:pStyle w:val="4"/>
              <w:widowControl w:val="0"/>
              <w:autoSpaceDE w:val="0"/>
              <w:adjustRightInd w:val="0"/>
              <w:snapToGrid w:val="0"/>
              <w:spacing w:after="0"/>
              <w:rPr>
                <w:rFonts w:cs="Times New Roman"/>
                <w:bCs/>
                <w:color w:val="000000"/>
              </w:rPr>
            </w:pPr>
            <w:r>
              <w:rPr>
                <w:rFonts w:cs="Times New Roman"/>
                <w:bCs/>
                <w:color w:val="000000"/>
              </w:rPr>
              <w:t>参与集中的经营者简介（每个限100字以内）</w:t>
            </w:r>
          </w:p>
        </w:tc>
        <w:tc>
          <w:tcPr>
            <w:tcW w:w="1607" w:type="dxa"/>
            <w:tcBorders>
              <w:top w:val="single" w:color="auto" w:sz="4" w:space="0"/>
              <w:left w:val="single" w:color="auto" w:sz="4" w:space="0"/>
              <w:bottom w:val="single" w:color="auto" w:sz="4" w:space="0"/>
              <w:right w:val="single" w:color="auto" w:sz="4" w:space="0"/>
            </w:tcBorders>
            <w:vAlign w:val="center"/>
          </w:tcPr>
          <w:p>
            <w:pPr>
              <w:pStyle w:val="4"/>
              <w:widowControl w:val="0"/>
              <w:autoSpaceDE w:val="0"/>
              <w:adjustRightInd w:val="0"/>
              <w:snapToGrid w:val="0"/>
              <w:spacing w:after="0"/>
              <w:rPr>
                <w:rFonts w:hint="default" w:eastAsia="宋体" w:cs="Times New Roman"/>
                <w:bCs/>
                <w:color w:val="000000"/>
                <w:lang w:val="en-US" w:eastAsia="zh-CN"/>
              </w:rPr>
            </w:pPr>
            <w:r>
              <w:rPr>
                <w:rFonts w:hint="eastAsia" w:cs="Times New Roman"/>
                <w:bCs/>
                <w:color w:val="000000"/>
                <w:lang w:val="en-US" w:eastAsia="zh-CN"/>
              </w:rPr>
              <w:t>泉秀地产</w:t>
            </w:r>
          </w:p>
        </w:tc>
        <w:tc>
          <w:tcPr>
            <w:tcW w:w="5555" w:type="dxa"/>
            <w:tcBorders>
              <w:top w:val="single" w:color="auto" w:sz="4" w:space="0"/>
              <w:left w:val="single" w:color="auto" w:sz="4" w:space="0"/>
              <w:bottom w:val="single" w:color="auto" w:sz="4" w:space="0"/>
              <w:right w:val="single" w:color="auto" w:sz="4" w:space="0"/>
            </w:tcBorders>
            <w:vAlign w:val="center"/>
          </w:tcPr>
          <w:p>
            <w:pPr>
              <w:pStyle w:val="4"/>
              <w:widowControl w:val="0"/>
              <w:adjustRightInd w:val="0"/>
              <w:snapToGrid w:val="0"/>
              <w:spacing w:before="0" w:beforeAutospacing="0" w:after="0"/>
              <w:rPr>
                <w:rFonts w:hint="eastAsia" w:ascii="宋体" w:hAnsi="宋体" w:eastAsia="宋体" w:cs="宋体"/>
                <w:b w:val="0"/>
                <w:bCs/>
                <w:color w:val="000000"/>
                <w:kern w:val="2"/>
                <w:sz w:val="24"/>
                <w:szCs w:val="24"/>
                <w:lang w:val="en-US" w:eastAsia="zh-CN"/>
              </w:rPr>
            </w:pPr>
            <w:r>
              <w:rPr>
                <w:rFonts w:hint="eastAsia" w:ascii="宋体" w:hAnsi="宋体" w:eastAsia="宋体" w:cs="宋体"/>
                <w:sz w:val="24"/>
                <w:szCs w:val="24"/>
                <w:lang w:val="en-US" w:eastAsia="zh-CN"/>
              </w:rPr>
              <w:t>泉</w:t>
            </w:r>
            <w:r>
              <w:rPr>
                <w:rFonts w:hint="eastAsia" w:ascii="宋体" w:hAnsi="宋体" w:eastAsia="宋体" w:cs="宋体"/>
                <w:b w:val="0"/>
                <w:bCs/>
                <w:color w:val="000000"/>
                <w:kern w:val="2"/>
                <w:sz w:val="24"/>
                <w:szCs w:val="24"/>
                <w:lang w:val="en-US" w:eastAsia="zh-CN"/>
              </w:rPr>
              <w:t>秀地产</w:t>
            </w:r>
            <w:r>
              <w:rPr>
                <w:rFonts w:hint="eastAsia" w:ascii="宋体" w:hAnsi="宋体" w:eastAsia="宋体" w:cs="宋体"/>
                <w:b w:val="0"/>
                <w:bCs/>
                <w:color w:val="000000"/>
                <w:kern w:val="2"/>
                <w:sz w:val="24"/>
                <w:szCs w:val="24"/>
                <w:lang w:eastAsia="zh-CN"/>
              </w:rPr>
              <w:t>于</w:t>
            </w:r>
            <w:r>
              <w:rPr>
                <w:rFonts w:hint="eastAsia" w:ascii="宋体" w:hAnsi="宋体" w:eastAsia="宋体" w:cs="宋体"/>
                <w:b w:val="0"/>
                <w:bCs/>
                <w:color w:val="000000"/>
                <w:kern w:val="2"/>
                <w:sz w:val="24"/>
                <w:szCs w:val="24"/>
                <w:lang w:val="en-US" w:eastAsia="zh-CN"/>
              </w:rPr>
              <w:t>2022</w:t>
            </w:r>
            <w:r>
              <w:rPr>
                <w:rFonts w:hint="eastAsia" w:ascii="宋体" w:hAnsi="宋体" w:eastAsia="宋体" w:cs="宋体"/>
                <w:b w:val="0"/>
                <w:bCs/>
                <w:color w:val="000000"/>
                <w:kern w:val="2"/>
                <w:sz w:val="24"/>
                <w:szCs w:val="24"/>
                <w:lang w:eastAsia="zh-CN"/>
              </w:rPr>
              <w:t>年</w:t>
            </w:r>
            <w:r>
              <w:rPr>
                <w:rFonts w:hint="eastAsia" w:ascii="宋体" w:hAnsi="宋体" w:eastAsia="宋体" w:cs="宋体"/>
                <w:b w:val="0"/>
                <w:bCs/>
                <w:color w:val="000000"/>
                <w:kern w:val="2"/>
                <w:sz w:val="24"/>
                <w:szCs w:val="24"/>
                <w:lang w:val="en-US" w:eastAsia="zh-CN"/>
              </w:rPr>
              <w:t>7</w:t>
            </w:r>
            <w:r>
              <w:rPr>
                <w:rFonts w:hint="eastAsia" w:ascii="宋体" w:hAnsi="宋体" w:eastAsia="宋体" w:cs="宋体"/>
                <w:b w:val="0"/>
                <w:bCs/>
                <w:color w:val="000000"/>
                <w:kern w:val="2"/>
                <w:sz w:val="24"/>
                <w:szCs w:val="24"/>
                <w:lang w:eastAsia="zh-CN"/>
              </w:rPr>
              <w:t>月2</w:t>
            </w:r>
            <w:r>
              <w:rPr>
                <w:rFonts w:hint="eastAsia" w:ascii="宋体" w:hAnsi="宋体" w:eastAsia="宋体" w:cs="宋体"/>
                <w:b w:val="0"/>
                <w:bCs/>
                <w:color w:val="000000"/>
                <w:kern w:val="2"/>
                <w:sz w:val="24"/>
                <w:szCs w:val="24"/>
                <w:lang w:val="en-US" w:eastAsia="zh-CN"/>
              </w:rPr>
              <w:t>5</w:t>
            </w:r>
            <w:r>
              <w:rPr>
                <w:rFonts w:hint="eastAsia" w:ascii="宋体" w:hAnsi="宋体" w:eastAsia="宋体" w:cs="宋体"/>
                <w:b w:val="0"/>
                <w:bCs/>
                <w:color w:val="000000"/>
                <w:kern w:val="2"/>
                <w:sz w:val="24"/>
                <w:szCs w:val="24"/>
                <w:lang w:eastAsia="zh-CN"/>
              </w:rPr>
              <w:t>日</w:t>
            </w:r>
            <w:r>
              <w:rPr>
                <w:rFonts w:hint="eastAsia" w:ascii="宋体" w:hAnsi="宋体" w:cs="宋体"/>
                <w:b w:val="0"/>
                <w:bCs/>
                <w:color w:val="000000"/>
                <w:kern w:val="2"/>
                <w:sz w:val="24"/>
                <w:szCs w:val="24"/>
                <w:lang w:val="en-US" w:eastAsia="zh-CN"/>
              </w:rPr>
              <w:t>成立于广东省</w:t>
            </w:r>
            <w:r>
              <w:rPr>
                <w:rFonts w:hint="eastAsia" w:ascii="宋体" w:hAnsi="宋体" w:eastAsia="宋体" w:cs="宋体"/>
                <w:b w:val="0"/>
                <w:bCs/>
                <w:color w:val="000000"/>
                <w:kern w:val="2"/>
                <w:sz w:val="24"/>
                <w:szCs w:val="24"/>
                <w:lang w:val="en-US" w:eastAsia="zh-CN"/>
              </w:rPr>
              <w:t>广州市</w:t>
            </w:r>
            <w:r>
              <w:rPr>
                <w:rFonts w:hint="eastAsia" w:ascii="宋体" w:hAnsi="宋体" w:eastAsia="宋体" w:cs="宋体"/>
                <w:b w:val="0"/>
                <w:bCs/>
                <w:color w:val="000000"/>
                <w:kern w:val="2"/>
                <w:sz w:val="24"/>
                <w:szCs w:val="24"/>
                <w:lang w:eastAsia="zh-CN"/>
              </w:rPr>
              <w:t>，主要</w:t>
            </w:r>
            <w:r>
              <w:rPr>
                <w:rFonts w:hint="eastAsia" w:ascii="宋体" w:hAnsi="宋体" w:eastAsia="宋体" w:cs="宋体"/>
                <w:b w:val="0"/>
                <w:bCs/>
                <w:color w:val="000000"/>
                <w:kern w:val="2"/>
                <w:sz w:val="24"/>
                <w:szCs w:val="24"/>
                <w:lang w:val="en-US" w:eastAsia="zh-CN"/>
              </w:rPr>
              <w:t>业务为房地产开发、销售。</w:t>
            </w:r>
          </w:p>
          <w:p>
            <w:pPr>
              <w:pStyle w:val="4"/>
              <w:widowControl w:val="0"/>
              <w:adjustRightInd w:val="0"/>
              <w:snapToGrid w:val="0"/>
              <w:spacing w:before="0" w:beforeAutospacing="0" w:after="0"/>
              <w:rPr>
                <w:color w:val="000000" w:themeColor="text1"/>
                <w14:textFill>
                  <w14:solidFill>
                    <w14:schemeClr w14:val="tx1"/>
                  </w14:solidFill>
                </w14:textFill>
              </w:rPr>
            </w:pPr>
            <w:r>
              <w:rPr>
                <w:rFonts w:hint="eastAsia" w:ascii="宋体" w:hAnsi="宋体" w:eastAsia="宋体" w:cs="宋体"/>
                <w:b w:val="0"/>
                <w:bCs/>
                <w:color w:val="000000"/>
                <w:kern w:val="2"/>
                <w:sz w:val="24"/>
                <w:szCs w:val="24"/>
                <w:lang w:val="en-US" w:eastAsia="zh-CN"/>
              </w:rPr>
              <w:t>泉秀地产</w:t>
            </w:r>
            <w:r>
              <w:rPr>
                <w:rFonts w:hint="eastAsia" w:ascii="宋体" w:hAnsi="宋体" w:eastAsia="宋体" w:cs="宋体"/>
                <w:b w:val="0"/>
                <w:bCs/>
                <w:color w:val="000000"/>
                <w:kern w:val="2"/>
                <w:sz w:val="24"/>
                <w:szCs w:val="24"/>
                <w:lang w:eastAsia="zh-CN"/>
              </w:rPr>
              <w:t>最终控制人</w:t>
            </w:r>
            <w:r>
              <w:rPr>
                <w:rFonts w:hint="eastAsia" w:ascii="宋体" w:hAnsi="宋体" w:eastAsia="宋体" w:cs="宋体"/>
                <w:b w:val="0"/>
                <w:bCs/>
                <w:color w:val="000000"/>
                <w:kern w:val="2"/>
                <w:sz w:val="24"/>
                <w:szCs w:val="24"/>
                <w:lang w:val="en-US" w:eastAsia="zh-CN"/>
              </w:rPr>
              <w:t>为越秀集团</w:t>
            </w:r>
            <w:r>
              <w:rPr>
                <w:rFonts w:hint="eastAsia" w:ascii="宋体" w:hAnsi="宋体" w:cs="宋体"/>
                <w:b w:val="0"/>
                <w:bCs/>
                <w:color w:val="000000"/>
                <w:kern w:val="2"/>
                <w:sz w:val="24"/>
                <w:szCs w:val="24"/>
                <w:lang w:val="en-US" w:eastAsia="zh-CN"/>
              </w:rPr>
              <w:t>，</w:t>
            </w:r>
            <w:r>
              <w:rPr>
                <w:rFonts w:hint="eastAsia" w:ascii="宋体" w:hAnsi="宋体" w:eastAsia="宋体" w:cs="宋体"/>
                <w:b w:val="0"/>
                <w:bCs/>
                <w:color w:val="000000"/>
                <w:kern w:val="2"/>
                <w:sz w:val="24"/>
                <w:szCs w:val="24"/>
                <w:lang w:val="en-US" w:eastAsia="zh-CN"/>
              </w:rPr>
              <w:t>主要业务</w:t>
            </w:r>
            <w:r>
              <w:rPr>
                <w:rFonts w:hint="eastAsia" w:ascii="宋体" w:hAnsi="宋体" w:cs="宋体"/>
                <w:b w:val="0"/>
                <w:bCs/>
                <w:color w:val="000000"/>
                <w:kern w:val="2"/>
                <w:sz w:val="24"/>
                <w:szCs w:val="24"/>
                <w:lang w:val="en-US" w:eastAsia="zh-CN"/>
              </w:rPr>
              <w:t>为</w:t>
            </w:r>
            <w:r>
              <w:rPr>
                <w:rFonts w:hint="eastAsia" w:ascii="宋体" w:hAnsi="宋体" w:eastAsia="宋体" w:cs="宋体"/>
                <w:b w:val="0"/>
                <w:bCs/>
                <w:color w:val="000000"/>
                <w:kern w:val="2"/>
                <w:sz w:val="24"/>
                <w:szCs w:val="24"/>
                <w:lang w:val="en-US" w:eastAsia="zh-CN"/>
              </w:rPr>
              <w:t>金融、房地产、交通基建、食品、造纸</w:t>
            </w:r>
            <w:r>
              <w:rPr>
                <w:rFonts w:hint="eastAsia" w:cs="Times New Roman"/>
                <w:b w:val="0"/>
                <w:bCs/>
                <w:color w:val="000000"/>
                <w:kern w:val="2"/>
                <w:sz w:val="22"/>
                <w:szCs w:val="22"/>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4" w:hRule="atLeast"/>
        </w:trPr>
        <w:tc>
          <w:tcPr>
            <w:tcW w:w="1940" w:type="dxa"/>
            <w:vMerge w:val="continue"/>
            <w:tcBorders>
              <w:left w:val="single" w:color="auto" w:sz="4" w:space="0"/>
              <w:right w:val="single" w:color="auto" w:sz="4" w:space="0"/>
            </w:tcBorders>
            <w:vAlign w:val="center"/>
          </w:tcPr>
          <w:p>
            <w:pPr>
              <w:spacing w:before="0" w:beforeAutospacing="0" w:after="0"/>
              <w:jc w:val="left"/>
              <w:rPr>
                <w:bCs/>
                <w:color w:val="000000"/>
              </w:rPr>
            </w:pPr>
          </w:p>
        </w:tc>
        <w:tc>
          <w:tcPr>
            <w:tcW w:w="1607" w:type="dxa"/>
            <w:tcBorders>
              <w:top w:val="single" w:color="auto" w:sz="4" w:space="0"/>
              <w:left w:val="single" w:color="auto" w:sz="4" w:space="0"/>
              <w:bottom w:val="single" w:color="auto" w:sz="4" w:space="0"/>
              <w:right w:val="single" w:color="auto" w:sz="4" w:space="0"/>
            </w:tcBorders>
            <w:vAlign w:val="center"/>
          </w:tcPr>
          <w:p>
            <w:pPr>
              <w:pStyle w:val="4"/>
              <w:widowControl w:val="0"/>
              <w:autoSpaceDE w:val="0"/>
              <w:adjustRightInd w:val="0"/>
              <w:snapToGrid w:val="0"/>
              <w:spacing w:after="0"/>
              <w:rPr>
                <w:rFonts w:hint="default" w:eastAsia="宋体" w:cs="Times New Roman"/>
                <w:bCs/>
                <w:color w:val="000000"/>
                <w:lang w:val="en-US" w:eastAsia="zh-CN"/>
              </w:rPr>
            </w:pPr>
            <w:r>
              <w:rPr>
                <w:rFonts w:hint="eastAsia" w:cs="Times New Roman"/>
                <w:bCs/>
                <w:color w:val="000000"/>
                <w:lang w:val="en-US" w:eastAsia="zh-CN"/>
              </w:rPr>
              <w:t>广州地铁</w:t>
            </w:r>
          </w:p>
        </w:tc>
        <w:tc>
          <w:tcPr>
            <w:tcW w:w="5555" w:type="dxa"/>
            <w:tcBorders>
              <w:top w:val="single" w:color="auto" w:sz="4" w:space="0"/>
              <w:left w:val="single" w:color="auto" w:sz="4" w:space="0"/>
              <w:bottom w:val="single" w:color="auto" w:sz="4" w:space="0"/>
              <w:right w:val="single" w:color="auto" w:sz="4" w:space="0"/>
            </w:tcBorders>
            <w:vAlign w:val="center"/>
          </w:tcPr>
          <w:p>
            <w:pPr>
              <w:pStyle w:val="4"/>
              <w:widowControl w:val="0"/>
              <w:adjustRightInd w:val="0"/>
              <w:snapToGrid w:val="0"/>
              <w:spacing w:before="0" w:beforeAutospacing="0" w:after="0"/>
              <w:rPr>
                <w:rFonts w:hint="eastAsia" w:ascii="宋体" w:hAnsi="宋体" w:eastAsia="宋体" w:cs="宋体"/>
                <w:b w:val="0"/>
                <w:bCs/>
                <w:color w:val="000000"/>
                <w:kern w:val="2"/>
                <w:sz w:val="24"/>
                <w:szCs w:val="24"/>
                <w:lang w:val="en-US" w:eastAsia="zh-CN"/>
              </w:rPr>
            </w:pPr>
            <w:r>
              <w:rPr>
                <w:rFonts w:hint="eastAsia"/>
                <w:lang w:val="en-US" w:eastAsia="zh-CN"/>
              </w:rPr>
              <w:t>广州地铁</w:t>
            </w:r>
            <w:r>
              <w:rPr>
                <w:rFonts w:hint="eastAsia" w:cs="Times New Roman"/>
                <w:color w:val="000000" w:themeColor="text1"/>
                <w14:textFill>
                  <w14:solidFill>
                    <w14:schemeClr w14:val="tx1"/>
                  </w14:solidFill>
                </w14:textFill>
              </w:rPr>
              <w:t>于</w:t>
            </w:r>
            <w:r>
              <w:rPr>
                <w:rFonts w:hint="eastAsia" w:cs="Times New Roman"/>
                <w:color w:val="000000" w:themeColor="text1"/>
                <w:lang w:val="en-US" w:eastAsia="zh-CN"/>
                <w14:textFill>
                  <w14:solidFill>
                    <w14:schemeClr w14:val="tx1"/>
                  </w14:solidFill>
                </w14:textFill>
              </w:rPr>
              <w:t>1992</w:t>
            </w:r>
            <w:r>
              <w:rPr>
                <w:rFonts w:hint="eastAsia" w:cs="Times New Roman"/>
                <w:color w:val="000000" w:themeColor="text1"/>
                <w14:textFill>
                  <w14:solidFill>
                    <w14:schemeClr w14:val="tx1"/>
                  </w14:solidFill>
                </w14:textFill>
              </w:rPr>
              <w:t>年</w:t>
            </w:r>
            <w:r>
              <w:rPr>
                <w:rFonts w:hint="eastAsia" w:cs="Times New Roman"/>
                <w:color w:val="000000" w:themeColor="text1"/>
                <w:lang w:val="en-US" w:eastAsia="zh-CN"/>
                <w14:textFill>
                  <w14:solidFill>
                    <w14:schemeClr w14:val="tx1"/>
                  </w14:solidFill>
                </w14:textFill>
              </w:rPr>
              <w:t>11</w:t>
            </w:r>
            <w:r>
              <w:rPr>
                <w:rFonts w:hint="eastAsia" w:cs="Times New Roman"/>
                <w:color w:val="000000" w:themeColor="text1"/>
                <w14:textFill>
                  <w14:solidFill>
                    <w14:schemeClr w14:val="tx1"/>
                  </w14:solidFill>
                </w14:textFill>
              </w:rPr>
              <w:t>月</w:t>
            </w:r>
            <w:r>
              <w:rPr>
                <w:rFonts w:hint="eastAsia" w:cs="Times New Roman"/>
                <w:color w:val="000000" w:themeColor="text1"/>
                <w:lang w:val="en-US" w:eastAsia="zh-CN"/>
                <w14:textFill>
                  <w14:solidFill>
                    <w14:schemeClr w14:val="tx1"/>
                  </w14:solidFill>
                </w14:textFill>
              </w:rPr>
              <w:t>21</w:t>
            </w:r>
            <w:r>
              <w:rPr>
                <w:rFonts w:hint="eastAsia" w:cs="Times New Roman"/>
                <w:color w:val="000000" w:themeColor="text1"/>
                <w14:textFill>
                  <w14:solidFill>
                    <w14:schemeClr w14:val="tx1"/>
                  </w14:solidFill>
                </w14:textFill>
              </w:rPr>
              <w:t>日</w:t>
            </w:r>
            <w:r>
              <w:rPr>
                <w:rFonts w:hint="eastAsia" w:cs="Times New Roman"/>
                <w:color w:val="000000" w:themeColor="text1"/>
                <w:lang w:val="en-US" w:eastAsia="zh-CN"/>
                <w14:textFill>
                  <w14:solidFill>
                    <w14:schemeClr w14:val="tx1"/>
                  </w14:solidFill>
                </w14:textFill>
              </w:rPr>
              <w:t>成立于广东省广州市</w:t>
            </w:r>
            <w:r>
              <w:rPr>
                <w:rFonts w:hint="eastAsia" w:cs="Times New Roman"/>
                <w:color w:val="000000" w:themeColor="text1"/>
                <w14:textFill>
                  <w14:solidFill>
                    <w14:schemeClr w14:val="tx1"/>
                  </w14:solidFill>
                </w14:textFill>
              </w:rPr>
              <w:t>，</w:t>
            </w:r>
            <w:r>
              <w:rPr>
                <w:rFonts w:hint="eastAsia" w:cs="Times New Roman"/>
                <w:color w:val="000000" w:themeColor="text1"/>
                <w:lang w:val="en-US" w:eastAsia="zh-CN"/>
                <w14:textFill>
                  <w14:solidFill>
                    <w14:schemeClr w14:val="tx1"/>
                  </w14:solidFill>
                </w14:textFill>
              </w:rPr>
              <w:t>主要业务为</w:t>
            </w:r>
            <w:r>
              <w:rPr>
                <w:rFonts w:hint="eastAsia" w:cs="Times New Roman"/>
                <w:color w:val="000000" w:themeColor="text1"/>
                <w14:textFill>
                  <w14:solidFill>
                    <w14:schemeClr w14:val="tx1"/>
                  </w14:solidFill>
                </w14:textFill>
              </w:rPr>
              <w:t>广州市轨道交通线路建</w:t>
            </w:r>
            <w:r>
              <w:rPr>
                <w:rFonts w:hint="eastAsia" w:ascii="宋体" w:hAnsi="宋体" w:eastAsia="宋体" w:cs="宋体"/>
                <w:b w:val="0"/>
                <w:bCs/>
                <w:color w:val="000000"/>
                <w:kern w:val="2"/>
                <w:sz w:val="24"/>
                <w:szCs w:val="24"/>
                <w:lang w:val="en-US" w:eastAsia="zh-CN"/>
              </w:rPr>
              <w:t>设、地铁商业经营以及地铁附属资源的管理与经营。</w:t>
            </w:r>
          </w:p>
          <w:p>
            <w:pPr>
              <w:pStyle w:val="4"/>
              <w:widowControl w:val="0"/>
              <w:adjustRightInd w:val="0"/>
              <w:snapToGrid w:val="0"/>
              <w:spacing w:before="0" w:beforeAutospacing="0" w:after="0"/>
              <w:rPr>
                <w:bCs/>
                <w:color w:val="000000"/>
              </w:rPr>
            </w:pPr>
            <w:r>
              <w:rPr>
                <w:rFonts w:hint="eastAsia" w:ascii="宋体" w:hAnsi="宋体" w:eastAsia="宋体" w:cs="宋体"/>
                <w:b w:val="0"/>
                <w:bCs/>
                <w:color w:val="000000"/>
                <w:kern w:val="2"/>
                <w:sz w:val="24"/>
                <w:szCs w:val="24"/>
                <w:lang w:val="en-US" w:eastAsia="zh-CN"/>
              </w:rPr>
              <w:t>广州地铁为广州市</w:t>
            </w:r>
            <w:r>
              <w:rPr>
                <w:rFonts w:hint="eastAsia" w:ascii="宋体" w:hAnsi="宋体" w:cs="宋体"/>
                <w:b w:val="0"/>
                <w:bCs/>
                <w:color w:val="000000"/>
                <w:kern w:val="2"/>
                <w:sz w:val="24"/>
                <w:szCs w:val="24"/>
                <w:lang w:val="en-US" w:eastAsia="zh-CN"/>
              </w:rPr>
              <w:t>人民政府下属企业</w:t>
            </w:r>
            <w:r>
              <w:rPr>
                <w:rFonts w:hint="eastAsia" w:cs="Times New Roman"/>
                <w:color w:val="000000" w:themeColor="text1"/>
                <w:lang w:val="en-US" w:eastAsia="zh-CN"/>
                <w14:textFill>
                  <w14:solidFill>
                    <w14:schemeClr w14:val="tx1"/>
                  </w14:solidFill>
                </w14:textFil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1940" w:type="dxa"/>
            <w:vMerge w:val="restart"/>
            <w:tcBorders>
              <w:top w:val="nil"/>
              <w:left w:val="single" w:color="auto" w:sz="4" w:space="0"/>
              <w:bottom w:val="single" w:color="auto" w:sz="4" w:space="0"/>
              <w:right w:val="single" w:color="auto" w:sz="4" w:space="0"/>
            </w:tcBorders>
            <w:shd w:val="clear" w:color="auto" w:fill="D9D9D9"/>
            <w:vAlign w:val="center"/>
          </w:tcPr>
          <w:p>
            <w:pPr>
              <w:pStyle w:val="4"/>
              <w:widowControl w:val="0"/>
              <w:autoSpaceDE w:val="0"/>
              <w:adjustRightInd w:val="0"/>
              <w:snapToGrid w:val="0"/>
              <w:spacing w:after="0"/>
              <w:rPr>
                <w:rFonts w:cs="Times New Roman"/>
                <w:bCs/>
                <w:color w:val="000000"/>
              </w:rPr>
            </w:pPr>
            <w:r>
              <w:rPr>
                <w:rFonts w:cs="Times New Roman"/>
                <w:bCs/>
                <w:color w:val="000000"/>
              </w:rPr>
              <w:t>简易案件理由（可以单选，也可以多选）</w:t>
            </w:r>
          </w:p>
        </w:tc>
        <w:tc>
          <w:tcPr>
            <w:tcW w:w="7162" w:type="dxa"/>
            <w:gridSpan w:val="2"/>
            <w:tcBorders>
              <w:top w:val="single" w:color="auto" w:sz="4" w:space="0"/>
              <w:left w:val="single" w:color="auto" w:sz="4" w:space="0"/>
              <w:bottom w:val="single" w:color="auto" w:sz="4" w:space="0"/>
              <w:right w:val="single" w:color="auto" w:sz="4" w:space="0"/>
            </w:tcBorders>
            <w:vAlign w:val="center"/>
          </w:tcPr>
          <w:p>
            <w:pPr>
              <w:pStyle w:val="4"/>
              <w:widowControl w:val="0"/>
              <w:autoSpaceDE w:val="0"/>
              <w:adjustRightInd w:val="0"/>
              <w:snapToGrid w:val="0"/>
              <w:spacing w:after="0"/>
              <w:rPr>
                <w:rFonts w:cs="Times New Roman"/>
                <w:bCs/>
                <w:color w:val="000000"/>
              </w:rPr>
            </w:pPr>
            <w:bookmarkStart w:id="0" w:name="OLE_LINK12"/>
            <w:bookmarkStart w:id="1" w:name="OLE_LINK11"/>
            <w:r>
              <w:rPr>
                <w:rFonts w:cs="Times New Roman"/>
                <w:lang w:val="en-GB"/>
              </w:rPr>
              <w:sym w:font="Wingdings" w:char="00FE"/>
            </w:r>
            <w:r>
              <w:rPr>
                <w:rFonts w:cs="Times New Roman"/>
                <w:lang w:val="en-GB"/>
              </w:rPr>
              <w:t xml:space="preserve"> </w:t>
            </w:r>
            <w:bookmarkEnd w:id="0"/>
            <w:bookmarkEnd w:id="1"/>
            <w:r>
              <w:rPr>
                <w:rFonts w:cs="Times New Roman"/>
                <w:bCs/>
                <w:color w:val="000000"/>
              </w:rPr>
              <w:t>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940" w:type="dxa"/>
            <w:vMerge w:val="continue"/>
            <w:tcBorders>
              <w:top w:val="nil"/>
              <w:left w:val="single" w:color="auto" w:sz="4" w:space="0"/>
              <w:bottom w:val="single" w:color="auto" w:sz="4" w:space="0"/>
              <w:right w:val="single" w:color="auto" w:sz="4" w:space="0"/>
            </w:tcBorders>
            <w:vAlign w:val="center"/>
          </w:tcPr>
          <w:p>
            <w:pPr>
              <w:spacing w:before="0" w:beforeAutospacing="0" w:after="0"/>
              <w:jc w:val="left"/>
              <w:rPr>
                <w:bCs/>
                <w:color w:val="000000"/>
              </w:rPr>
            </w:pPr>
          </w:p>
        </w:tc>
        <w:tc>
          <w:tcPr>
            <w:tcW w:w="7162" w:type="dxa"/>
            <w:gridSpan w:val="2"/>
            <w:tcBorders>
              <w:top w:val="single" w:color="auto" w:sz="4" w:space="0"/>
              <w:left w:val="single" w:color="auto" w:sz="4" w:space="0"/>
              <w:bottom w:val="single" w:color="auto" w:sz="4" w:space="0"/>
              <w:right w:val="single" w:color="auto" w:sz="4" w:space="0"/>
            </w:tcBorders>
            <w:vAlign w:val="center"/>
          </w:tcPr>
          <w:p>
            <w:pPr>
              <w:pStyle w:val="4"/>
              <w:widowControl w:val="0"/>
              <w:autoSpaceDE w:val="0"/>
              <w:adjustRightInd w:val="0"/>
              <w:snapToGrid w:val="0"/>
              <w:spacing w:after="0"/>
              <w:rPr>
                <w:rFonts w:cs="Times New Roman"/>
                <w:bCs/>
                <w:color w:val="000000"/>
              </w:rPr>
            </w:pPr>
            <w:bookmarkStart w:id="2" w:name="OLE_LINK16"/>
            <w:bookmarkStart w:id="3" w:name="OLE_LINK17"/>
            <w:bookmarkStart w:id="4" w:name="OLE_LINK15"/>
            <w:r>
              <w:rPr>
                <w:rFonts w:cs="Times New Roman"/>
                <w:lang w:val="en-GB"/>
              </w:rPr>
              <w:sym w:font="Wingdings" w:char="F0A8"/>
            </w:r>
            <w:r>
              <w:rPr>
                <w:rFonts w:cs="Times New Roman"/>
                <w:lang w:val="en-GB"/>
              </w:rPr>
              <w:t xml:space="preserve"> </w:t>
            </w:r>
            <w:bookmarkEnd w:id="2"/>
            <w:bookmarkEnd w:id="3"/>
            <w:bookmarkEnd w:id="4"/>
            <w:r>
              <w:rPr>
                <w:rFonts w:cs="Times New Roman"/>
                <w:bCs/>
                <w:color w:val="000000"/>
              </w:rPr>
              <w:t>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940" w:type="dxa"/>
            <w:vMerge w:val="continue"/>
            <w:tcBorders>
              <w:top w:val="nil"/>
              <w:left w:val="single" w:color="auto" w:sz="4" w:space="0"/>
              <w:bottom w:val="single" w:color="auto" w:sz="4" w:space="0"/>
              <w:right w:val="single" w:color="auto" w:sz="4" w:space="0"/>
            </w:tcBorders>
            <w:vAlign w:val="center"/>
          </w:tcPr>
          <w:p>
            <w:pPr>
              <w:spacing w:before="0" w:beforeAutospacing="0" w:after="0"/>
              <w:jc w:val="left"/>
              <w:rPr>
                <w:bCs/>
                <w:color w:val="000000"/>
              </w:rPr>
            </w:pPr>
          </w:p>
        </w:tc>
        <w:tc>
          <w:tcPr>
            <w:tcW w:w="7162" w:type="dxa"/>
            <w:gridSpan w:val="2"/>
            <w:tcBorders>
              <w:top w:val="single" w:color="auto" w:sz="4" w:space="0"/>
              <w:left w:val="single" w:color="auto" w:sz="4" w:space="0"/>
              <w:bottom w:val="single" w:color="auto" w:sz="4" w:space="0"/>
              <w:right w:val="single" w:color="auto" w:sz="4" w:space="0"/>
            </w:tcBorders>
            <w:vAlign w:val="center"/>
          </w:tcPr>
          <w:p>
            <w:pPr>
              <w:pStyle w:val="4"/>
              <w:widowControl w:val="0"/>
              <w:autoSpaceDE w:val="0"/>
              <w:adjustRightInd w:val="0"/>
              <w:snapToGrid w:val="0"/>
              <w:spacing w:after="0"/>
              <w:rPr>
                <w:rFonts w:cs="Times New Roman"/>
                <w:bCs/>
                <w:color w:val="000000"/>
              </w:rPr>
            </w:pPr>
            <w:r>
              <w:rPr>
                <w:rFonts w:cs="Times New Roman"/>
                <w:lang w:val="en-GB"/>
              </w:rPr>
              <w:sym w:font="Wingdings" w:char="F0A8"/>
            </w:r>
            <w:r>
              <w:rPr>
                <w:rFonts w:cs="Times New Roman"/>
                <w:bCs/>
                <w:color w:val="000000"/>
              </w:rPr>
              <w:t xml:space="preserve"> 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1940" w:type="dxa"/>
            <w:vMerge w:val="continue"/>
            <w:tcBorders>
              <w:top w:val="nil"/>
              <w:left w:val="single" w:color="auto" w:sz="4" w:space="0"/>
              <w:bottom w:val="single" w:color="auto" w:sz="4" w:space="0"/>
              <w:right w:val="single" w:color="auto" w:sz="4" w:space="0"/>
            </w:tcBorders>
            <w:vAlign w:val="center"/>
          </w:tcPr>
          <w:p>
            <w:pPr>
              <w:spacing w:before="0" w:beforeAutospacing="0" w:after="0"/>
              <w:jc w:val="left"/>
              <w:rPr>
                <w:bCs/>
                <w:color w:val="000000"/>
              </w:rPr>
            </w:pPr>
          </w:p>
        </w:tc>
        <w:tc>
          <w:tcPr>
            <w:tcW w:w="7162" w:type="dxa"/>
            <w:gridSpan w:val="2"/>
            <w:tcBorders>
              <w:top w:val="single" w:color="auto" w:sz="4" w:space="0"/>
              <w:left w:val="single" w:color="auto" w:sz="4" w:space="0"/>
              <w:bottom w:val="single" w:color="auto" w:sz="4" w:space="0"/>
              <w:right w:val="single" w:color="auto" w:sz="4" w:space="0"/>
            </w:tcBorders>
            <w:vAlign w:val="center"/>
          </w:tcPr>
          <w:p>
            <w:pPr>
              <w:pStyle w:val="4"/>
              <w:widowControl w:val="0"/>
              <w:autoSpaceDE w:val="0"/>
              <w:adjustRightInd w:val="0"/>
              <w:snapToGrid w:val="0"/>
              <w:spacing w:after="0"/>
              <w:rPr>
                <w:rFonts w:cs="Times New Roman"/>
                <w:bCs/>
                <w:color w:val="000000"/>
              </w:rPr>
            </w:pPr>
            <w:bookmarkStart w:id="5" w:name="OLE_LINK13"/>
            <w:bookmarkStart w:id="6" w:name="OLE_LINK14"/>
            <w:r>
              <w:rPr>
                <w:rFonts w:cs="Times New Roman"/>
                <w:lang w:val="en-GB"/>
              </w:rPr>
              <w:sym w:font="Wingdings" w:char="F0A8"/>
            </w:r>
            <w:r>
              <w:rPr>
                <w:rFonts w:cs="Times New Roman"/>
                <w:bCs/>
                <w:color w:val="000000"/>
              </w:rPr>
              <w:t xml:space="preserve"> </w:t>
            </w:r>
            <w:bookmarkEnd w:id="5"/>
            <w:bookmarkEnd w:id="6"/>
            <w:r>
              <w:rPr>
                <w:rFonts w:cs="Times New Roman"/>
                <w:bCs/>
                <w:color w:val="000000"/>
              </w:rPr>
              <w:t>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940" w:type="dxa"/>
            <w:vMerge w:val="continue"/>
            <w:tcBorders>
              <w:top w:val="nil"/>
              <w:left w:val="single" w:color="auto" w:sz="4" w:space="0"/>
              <w:bottom w:val="single" w:color="auto" w:sz="4" w:space="0"/>
              <w:right w:val="single" w:color="auto" w:sz="4" w:space="0"/>
            </w:tcBorders>
            <w:vAlign w:val="center"/>
          </w:tcPr>
          <w:p>
            <w:pPr>
              <w:spacing w:before="0" w:beforeAutospacing="0" w:after="0"/>
              <w:jc w:val="left"/>
              <w:rPr>
                <w:bCs/>
                <w:color w:val="000000"/>
              </w:rPr>
            </w:pPr>
          </w:p>
        </w:tc>
        <w:tc>
          <w:tcPr>
            <w:tcW w:w="7162" w:type="dxa"/>
            <w:gridSpan w:val="2"/>
            <w:tcBorders>
              <w:top w:val="single" w:color="auto" w:sz="4" w:space="0"/>
              <w:left w:val="single" w:color="auto" w:sz="4" w:space="0"/>
              <w:bottom w:val="single" w:color="auto" w:sz="4" w:space="0"/>
              <w:right w:val="single" w:color="auto" w:sz="4" w:space="0"/>
            </w:tcBorders>
            <w:vAlign w:val="center"/>
          </w:tcPr>
          <w:p>
            <w:pPr>
              <w:pStyle w:val="4"/>
              <w:widowControl w:val="0"/>
              <w:autoSpaceDE w:val="0"/>
              <w:adjustRightInd w:val="0"/>
              <w:snapToGrid w:val="0"/>
              <w:spacing w:after="0"/>
              <w:rPr>
                <w:rFonts w:cs="Times New Roman"/>
                <w:bCs/>
                <w:color w:val="000000"/>
              </w:rPr>
            </w:pPr>
            <w:r>
              <w:rPr>
                <w:rFonts w:cs="Times New Roman"/>
                <w:lang w:val="en-GB"/>
              </w:rPr>
              <w:sym w:font="Wingdings" w:char="00A8"/>
            </w:r>
            <w:r>
              <w:rPr>
                <w:rFonts w:cs="Times New Roman"/>
                <w:lang w:val="en-GB"/>
              </w:rPr>
              <w:t xml:space="preserve"> </w:t>
            </w:r>
            <w:r>
              <w:rPr>
                <w:rFonts w:cs="Times New Roman"/>
                <w:bCs/>
                <w:color w:val="000000"/>
              </w:rPr>
              <w:t>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940" w:type="dxa"/>
            <w:vMerge w:val="continue"/>
            <w:tcBorders>
              <w:top w:val="nil"/>
              <w:left w:val="single" w:color="auto" w:sz="4" w:space="0"/>
              <w:bottom w:val="single" w:color="auto" w:sz="4" w:space="0"/>
              <w:right w:val="single" w:color="auto" w:sz="4" w:space="0"/>
            </w:tcBorders>
            <w:vAlign w:val="center"/>
          </w:tcPr>
          <w:p>
            <w:pPr>
              <w:spacing w:before="0" w:beforeAutospacing="0" w:after="0"/>
              <w:jc w:val="left"/>
              <w:rPr>
                <w:bCs/>
                <w:color w:val="000000"/>
              </w:rPr>
            </w:pPr>
          </w:p>
        </w:tc>
        <w:tc>
          <w:tcPr>
            <w:tcW w:w="7162" w:type="dxa"/>
            <w:gridSpan w:val="2"/>
            <w:tcBorders>
              <w:top w:val="single" w:color="auto" w:sz="4" w:space="0"/>
              <w:left w:val="single" w:color="auto" w:sz="4" w:space="0"/>
              <w:bottom w:val="single" w:color="auto" w:sz="4" w:space="0"/>
              <w:right w:val="single" w:color="auto" w:sz="4" w:space="0"/>
            </w:tcBorders>
            <w:vAlign w:val="center"/>
          </w:tcPr>
          <w:p>
            <w:pPr>
              <w:pStyle w:val="4"/>
              <w:widowControl w:val="0"/>
              <w:autoSpaceDE w:val="0"/>
              <w:adjustRightInd w:val="0"/>
              <w:snapToGrid w:val="0"/>
              <w:spacing w:after="0"/>
              <w:rPr>
                <w:rFonts w:cs="Times New Roman"/>
                <w:bCs/>
                <w:color w:val="000000"/>
              </w:rPr>
            </w:pPr>
            <w:r>
              <w:rPr>
                <w:rFonts w:cs="Times New Roman"/>
                <w:lang w:val="en-GB"/>
              </w:rPr>
              <w:sym w:font="Wingdings" w:char="F0A8"/>
            </w:r>
            <w:r>
              <w:rPr>
                <w:rFonts w:cs="Times New Roman"/>
                <w:bCs/>
                <w:color w:val="000000"/>
              </w:rPr>
              <w:t xml:space="preserve"> 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0" w:hRule="atLeast"/>
        </w:trPr>
        <w:tc>
          <w:tcPr>
            <w:tcW w:w="1940" w:type="dxa"/>
            <w:tcBorders>
              <w:top w:val="single" w:color="auto" w:sz="4" w:space="0"/>
              <w:left w:val="single" w:color="auto" w:sz="4" w:space="0"/>
              <w:bottom w:val="single" w:color="auto" w:sz="4" w:space="0"/>
              <w:right w:val="single" w:color="auto" w:sz="4" w:space="0"/>
            </w:tcBorders>
            <w:shd w:val="clear" w:color="auto" w:fill="D9D9D9"/>
            <w:vAlign w:val="center"/>
          </w:tcPr>
          <w:p>
            <w:pPr>
              <w:pStyle w:val="4"/>
              <w:widowControl w:val="0"/>
              <w:autoSpaceDE w:val="0"/>
              <w:adjustRightInd w:val="0"/>
              <w:snapToGrid w:val="0"/>
              <w:spacing w:after="0"/>
              <w:rPr>
                <w:rFonts w:cs="Times New Roman"/>
                <w:bCs/>
                <w:color w:val="000000"/>
              </w:rPr>
            </w:pPr>
            <w:r>
              <w:rPr>
                <w:rFonts w:cs="Times New Roman"/>
                <w:bCs/>
                <w:color w:val="000000"/>
              </w:rPr>
              <w:t>备注</w:t>
            </w:r>
          </w:p>
        </w:tc>
        <w:tc>
          <w:tcPr>
            <w:tcW w:w="7162" w:type="dxa"/>
            <w:gridSpan w:val="2"/>
            <w:tcBorders>
              <w:top w:val="single" w:color="auto" w:sz="4" w:space="0"/>
              <w:left w:val="single" w:color="auto" w:sz="4" w:space="0"/>
              <w:bottom w:val="single" w:color="auto" w:sz="4" w:space="0"/>
              <w:right w:val="single" w:color="auto" w:sz="4" w:space="0"/>
            </w:tcBorders>
            <w:vAlign w:val="center"/>
          </w:tcPr>
          <w:p>
            <w:pPr>
              <w:pStyle w:val="4"/>
              <w:adjustRightInd w:val="0"/>
              <w:snapToGrid w:val="0"/>
              <w:spacing w:after="0"/>
              <w:rPr>
                <w:rFonts w:ascii="宋体" w:hAnsi="宋体" w:cs="Times New Roman"/>
                <w:b/>
                <w:color w:val="000000"/>
                <w:lang w:eastAsia="zh-CN"/>
              </w:rPr>
            </w:pPr>
            <w:r>
              <w:rPr>
                <w:rFonts w:hint="eastAsia" w:ascii="宋体" w:hAnsi="宋体" w:cs="Times New Roman"/>
                <w:b/>
                <w:color w:val="000000"/>
                <w:lang w:eastAsia="zh-CN"/>
              </w:rPr>
              <w:t>横向重叠</w:t>
            </w:r>
            <w:r>
              <w:rPr>
                <w:rFonts w:ascii="宋体" w:hAnsi="宋体" w:cs="Times New Roman"/>
                <w:b/>
                <w:color w:val="000000"/>
                <w:lang w:eastAsia="zh-CN"/>
              </w:rPr>
              <w:t>：</w:t>
            </w:r>
          </w:p>
          <w:p>
            <w:pPr>
              <w:pStyle w:val="4"/>
              <w:adjustRightInd w:val="0"/>
              <w:snapToGrid w:val="0"/>
              <w:spacing w:after="0"/>
              <w:rPr>
                <w:rFonts w:ascii="宋体" w:hAnsi="宋体" w:cs="Times New Roman"/>
                <w:bCs/>
                <w:color w:val="000000"/>
                <w:lang w:eastAsia="zh-CN"/>
              </w:rPr>
            </w:pPr>
            <w:r>
              <w:rPr>
                <w:rFonts w:hint="eastAsia" w:ascii="宋体" w:hAnsi="宋体" w:cs="Times New Roman"/>
                <w:b w:val="0"/>
                <w:bCs/>
                <w:color w:val="000000"/>
                <w:lang w:val="en-US" w:eastAsia="zh-CN"/>
              </w:rPr>
              <w:t>2022年广州市</w:t>
            </w:r>
            <w:r>
              <w:rPr>
                <w:rFonts w:ascii="宋体" w:hAnsi="宋体" w:cs="Times New Roman"/>
                <w:bCs/>
                <w:color w:val="000000"/>
                <w:lang w:eastAsia="zh-CN"/>
              </w:rPr>
              <w:t>商品住宅开发和销售市场</w:t>
            </w:r>
          </w:p>
          <w:p>
            <w:pPr>
              <w:pStyle w:val="4"/>
              <w:adjustRightInd w:val="0"/>
              <w:snapToGrid w:val="0"/>
              <w:spacing w:after="0"/>
              <w:rPr>
                <w:rFonts w:hint="default" w:ascii="宋体" w:hAnsi="宋体" w:cs="Times New Roman"/>
                <w:b/>
                <w:color w:val="000000"/>
                <w:lang w:val="en-US" w:eastAsia="zh-CN"/>
              </w:rPr>
            </w:pPr>
            <w:r>
              <w:rPr>
                <w:rFonts w:hint="eastAsia" w:ascii="宋体" w:hAnsi="宋体" w:cs="Times New Roman"/>
                <w:bCs/>
                <w:color w:val="000000"/>
                <w:lang w:val="en-US" w:eastAsia="zh-CN"/>
              </w:rPr>
              <w:t>泉秀地产:</w:t>
            </w:r>
            <w:r>
              <w:rPr>
                <w:rFonts w:ascii="宋体" w:hAnsi="宋体" w:cs="Times New Roman"/>
                <w:bCs/>
                <w:color w:val="000000"/>
                <w:lang w:eastAsia="zh-CN"/>
              </w:rPr>
              <w:t>5</w:t>
            </w:r>
            <w:r>
              <w:rPr>
                <w:rFonts w:hint="eastAsia" w:ascii="宋体" w:hAnsi="宋体" w:cs="Times New Roman"/>
                <w:bCs/>
                <w:color w:val="000000"/>
                <w:lang w:val="en-US" w:eastAsia="zh-CN"/>
              </w:rPr>
              <w:t>-10</w:t>
            </w:r>
            <w:r>
              <w:rPr>
                <w:rFonts w:ascii="宋体" w:hAnsi="宋体" w:cs="Times New Roman"/>
                <w:bCs/>
                <w:color w:val="000000"/>
                <w:lang w:eastAsia="zh-CN"/>
              </w:rPr>
              <w:t>%</w:t>
            </w:r>
            <w:r>
              <w:rPr>
                <w:rFonts w:hint="eastAsia" w:ascii="宋体" w:hAnsi="宋体" w:cs="Times New Roman"/>
                <w:bCs/>
                <w:color w:val="000000"/>
                <w:lang w:val="en-US" w:eastAsia="zh-CN"/>
              </w:rPr>
              <w:t>,广州地铁</w:t>
            </w:r>
            <w:bookmarkStart w:id="7" w:name="_GoBack"/>
            <w:bookmarkEnd w:id="7"/>
            <w:r>
              <w:rPr>
                <w:rFonts w:hint="eastAsia" w:ascii="宋体" w:hAnsi="宋体" w:cs="Times New Roman"/>
                <w:bCs/>
                <w:color w:val="000000"/>
                <w:lang w:val="en-US" w:eastAsia="zh-CN"/>
              </w:rPr>
              <w:t>:</w:t>
            </w:r>
            <w:r>
              <w:rPr>
                <w:rFonts w:ascii="宋体" w:hAnsi="宋体" w:cs="Times New Roman"/>
                <w:bCs/>
                <w:color w:val="000000"/>
                <w:lang w:eastAsia="zh-CN"/>
              </w:rPr>
              <w:t>0-5%</w:t>
            </w:r>
            <w:r>
              <w:rPr>
                <w:rFonts w:hint="eastAsia" w:ascii="宋体" w:hAnsi="宋体" w:cs="Times New Roman"/>
                <w:bCs/>
                <w:color w:val="000000"/>
                <w:lang w:val="en-US" w:eastAsia="zh-CN"/>
              </w:rPr>
              <w:t>,双</w:t>
            </w:r>
            <w:r>
              <w:rPr>
                <w:rFonts w:hint="eastAsia" w:ascii="宋体" w:hAnsi="宋体" w:cs="宋体"/>
                <w:bCs/>
                <w:color w:val="000000"/>
                <w:lang w:val="en-US" w:eastAsia="zh-CN"/>
              </w:rPr>
              <w:t>方合计:</w:t>
            </w:r>
            <w:r>
              <w:rPr>
                <w:rFonts w:ascii="宋体" w:hAnsi="宋体" w:cs="宋体"/>
                <w:bCs/>
                <w:color w:val="000000"/>
                <w:lang w:val="en-US" w:eastAsia="zh-CN"/>
              </w:rPr>
              <w:t>10</w:t>
            </w:r>
            <w:r>
              <w:rPr>
                <w:rFonts w:hint="eastAsia" w:ascii="宋体" w:hAnsi="宋体" w:cs="宋体"/>
                <w:bCs/>
                <w:color w:val="000000"/>
                <w:lang w:val="en-US" w:eastAsia="zh-CN"/>
              </w:rPr>
              <w:t>-15%</w:t>
            </w:r>
          </w:p>
          <w:p>
            <w:pPr>
              <w:pStyle w:val="4"/>
              <w:adjustRightInd w:val="0"/>
              <w:snapToGrid w:val="0"/>
              <w:spacing w:after="0"/>
              <w:rPr>
                <w:rFonts w:ascii="宋体" w:hAnsi="宋体" w:cs="Times New Roman"/>
                <w:bCs/>
                <w:color w:val="000000"/>
                <w:lang w:eastAsia="zh-CN"/>
              </w:rPr>
            </w:pPr>
            <w:r>
              <w:rPr>
                <w:rFonts w:hint="eastAsia" w:ascii="宋体" w:hAnsi="宋体" w:cs="Times New Roman"/>
                <w:bCs/>
                <w:color w:val="000000"/>
                <w:lang w:val="en-US" w:eastAsia="zh-CN"/>
              </w:rPr>
              <w:t>2022年</w:t>
            </w:r>
            <w:r>
              <w:rPr>
                <w:rFonts w:ascii="宋体" w:hAnsi="宋体" w:cs="Times New Roman"/>
                <w:bCs/>
                <w:color w:val="000000"/>
                <w:lang w:eastAsia="zh-CN"/>
              </w:rPr>
              <w:t>广州市</w:t>
            </w:r>
            <w:r>
              <w:rPr>
                <w:rFonts w:hint="eastAsia" w:ascii="宋体" w:hAnsi="宋体" w:cs="Times New Roman"/>
                <w:bCs/>
                <w:color w:val="000000"/>
                <w:lang w:val="en-US" w:eastAsia="zh-CN"/>
              </w:rPr>
              <w:t>写字楼开发和运营</w:t>
            </w:r>
            <w:r>
              <w:rPr>
                <w:rFonts w:ascii="宋体" w:hAnsi="宋体" w:cs="Times New Roman"/>
                <w:bCs/>
                <w:color w:val="000000"/>
                <w:lang w:eastAsia="zh-CN"/>
              </w:rPr>
              <w:t>市场</w:t>
            </w:r>
          </w:p>
          <w:p>
            <w:pPr>
              <w:pStyle w:val="4"/>
              <w:adjustRightInd w:val="0"/>
              <w:snapToGrid w:val="0"/>
              <w:spacing w:after="0"/>
              <w:rPr>
                <w:rFonts w:hint="eastAsia" w:ascii="宋体" w:hAnsi="宋体" w:cs="Times New Roman"/>
                <w:b/>
                <w:color w:val="000000"/>
                <w:lang w:eastAsia="zh-CN"/>
              </w:rPr>
            </w:pPr>
            <w:r>
              <w:rPr>
                <w:rFonts w:hint="eastAsia" w:ascii="宋体" w:hAnsi="宋体" w:cs="Times New Roman"/>
                <w:bCs/>
                <w:color w:val="000000"/>
                <w:lang w:val="en-US" w:eastAsia="zh-CN"/>
              </w:rPr>
              <w:t>泉秀地产:0-5</w:t>
            </w:r>
            <w:r>
              <w:rPr>
                <w:rFonts w:ascii="宋体" w:hAnsi="宋体" w:cs="Times New Roman"/>
                <w:bCs/>
                <w:color w:val="000000"/>
                <w:lang w:eastAsia="zh-CN"/>
              </w:rPr>
              <w:t>%</w:t>
            </w:r>
            <w:r>
              <w:rPr>
                <w:rFonts w:hint="eastAsia" w:ascii="宋体" w:hAnsi="宋体" w:cs="Times New Roman"/>
                <w:bCs/>
                <w:color w:val="000000"/>
                <w:lang w:val="en-US" w:eastAsia="zh-CN"/>
              </w:rPr>
              <w:t>,广州地铁（通过品鑫地产）:</w:t>
            </w:r>
            <w:r>
              <w:rPr>
                <w:rFonts w:ascii="宋体" w:hAnsi="宋体" w:cs="Times New Roman"/>
                <w:bCs/>
                <w:color w:val="000000"/>
                <w:lang w:eastAsia="zh-CN"/>
              </w:rPr>
              <w:t>0-5%</w:t>
            </w:r>
            <w:r>
              <w:rPr>
                <w:rFonts w:hint="eastAsia" w:ascii="宋体" w:hAnsi="宋体" w:cs="Times New Roman"/>
                <w:bCs/>
                <w:color w:val="000000"/>
                <w:lang w:val="en-US" w:eastAsia="zh-CN"/>
              </w:rPr>
              <w:t>,双</w:t>
            </w:r>
            <w:r>
              <w:rPr>
                <w:rFonts w:hint="eastAsia" w:ascii="宋体" w:hAnsi="宋体" w:cs="宋体"/>
                <w:bCs/>
                <w:color w:val="000000"/>
                <w:lang w:val="en-US" w:eastAsia="zh-CN"/>
              </w:rPr>
              <w:t>方合计:0-5%</w:t>
            </w:r>
          </w:p>
          <w:p>
            <w:pPr>
              <w:pStyle w:val="4"/>
              <w:adjustRightInd w:val="0"/>
              <w:snapToGrid w:val="0"/>
              <w:spacing w:after="0"/>
              <w:rPr>
                <w:rFonts w:cs="Times New Roman"/>
                <w:bCs/>
                <w:color w:val="000000"/>
                <w:lang w:eastAsia="zh-CN"/>
              </w:rPr>
            </w:pPr>
            <w:r>
              <w:rPr>
                <w:rFonts w:hint="eastAsia" w:cs="Times New Roman"/>
                <w:bCs/>
                <w:color w:val="000000"/>
                <w:lang w:val="en-US" w:eastAsia="zh-CN"/>
              </w:rPr>
              <w:t>2022年广州市大型零售商业地产开发和运营市场</w:t>
            </w:r>
          </w:p>
          <w:p>
            <w:pPr>
              <w:pStyle w:val="4"/>
              <w:adjustRightInd w:val="0"/>
              <w:snapToGrid w:val="0"/>
              <w:spacing w:after="0"/>
              <w:rPr>
                <w:rFonts w:hint="eastAsia" w:ascii="宋体" w:hAnsi="宋体" w:cs="Times New Roman"/>
                <w:b/>
                <w:color w:val="000000"/>
                <w:lang w:eastAsia="zh-CN"/>
              </w:rPr>
            </w:pPr>
            <w:r>
              <w:rPr>
                <w:rFonts w:hint="eastAsia" w:ascii="宋体" w:hAnsi="宋体" w:cs="Times New Roman"/>
                <w:bCs/>
                <w:color w:val="000000"/>
                <w:lang w:val="en-US" w:eastAsia="zh-CN"/>
              </w:rPr>
              <w:t>泉秀地产:0-5</w:t>
            </w:r>
            <w:r>
              <w:rPr>
                <w:rFonts w:ascii="宋体" w:hAnsi="宋体" w:cs="Times New Roman"/>
                <w:bCs/>
                <w:color w:val="000000"/>
                <w:lang w:eastAsia="zh-CN"/>
              </w:rPr>
              <w:t>%</w:t>
            </w:r>
            <w:r>
              <w:rPr>
                <w:rFonts w:hint="eastAsia" w:ascii="宋体" w:hAnsi="宋体" w:cs="Times New Roman"/>
                <w:bCs/>
                <w:color w:val="000000"/>
                <w:lang w:val="en-US" w:eastAsia="zh-CN"/>
              </w:rPr>
              <w:t>,广州地铁（通过品鑫地产）:</w:t>
            </w:r>
            <w:r>
              <w:rPr>
                <w:rFonts w:ascii="宋体" w:hAnsi="宋体" w:cs="Times New Roman"/>
                <w:bCs/>
                <w:color w:val="000000"/>
                <w:lang w:eastAsia="zh-CN"/>
              </w:rPr>
              <w:t>0-5%</w:t>
            </w:r>
            <w:r>
              <w:rPr>
                <w:rFonts w:hint="eastAsia" w:ascii="宋体" w:hAnsi="宋体" w:cs="Times New Roman"/>
                <w:bCs/>
                <w:color w:val="000000"/>
                <w:lang w:val="en-US" w:eastAsia="zh-CN"/>
              </w:rPr>
              <w:t>,双</w:t>
            </w:r>
            <w:r>
              <w:rPr>
                <w:rFonts w:hint="eastAsia" w:ascii="宋体" w:hAnsi="宋体" w:cs="宋体"/>
                <w:bCs/>
                <w:color w:val="000000"/>
                <w:lang w:val="en-US" w:eastAsia="zh-CN"/>
              </w:rPr>
              <w:t>方合计:0-5%</w:t>
            </w:r>
          </w:p>
          <w:p>
            <w:pPr>
              <w:pStyle w:val="4"/>
              <w:spacing w:before="0" w:beforeAutospacing="0" w:after="0"/>
              <w:rPr>
                <w:rFonts w:cs="Times New Roman"/>
                <w:bCs/>
                <w:color w:val="000000"/>
              </w:rPr>
            </w:pPr>
          </w:p>
        </w:tc>
      </w:tr>
    </w:tbl>
    <w:p/>
    <w:sectPr>
      <w:head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altName w:val="黑体"/>
    <w:panose1 w:val="02010601030101010101"/>
    <w:charset w:val="86"/>
    <w:family w:val="script"/>
    <w:pitch w:val="default"/>
    <w:sig w:usb0="00000000" w:usb1="00000000" w:usb2="00000000" w:usb3="00000000" w:csb0="00040000" w:csb1="00000000"/>
  </w:font>
  <w:font w:name="PMingLiU">
    <w:altName w:val="PMingLiU-ExtB"/>
    <w:panose1 w:val="02020500000000000000"/>
    <w:charset w:val="88"/>
    <w:family w:val="roman"/>
    <w:pitch w:val="default"/>
    <w:sig w:usb0="00000000" w:usb1="00000000" w:usb2="00000016" w:usb3="00000000" w:csb0="00100001" w:csb1="00000000"/>
  </w:font>
  <w:font w:name="Simplified Arabic">
    <w:altName w:val="Times New Roman"/>
    <w:panose1 w:val="02020603050405020304"/>
    <w:charset w:val="B2"/>
    <w:family w:val="roman"/>
    <w:pitch w:val="default"/>
    <w:sig w:usb0="00000000" w:usb1="00000000" w:usb2="00000008" w:usb3="00000000" w:csb0="00000041" w:csb1="00000000"/>
  </w:font>
  <w:font w:name="等线">
    <w:panose1 w:val="02010600030101010101"/>
    <w:charset w:val="86"/>
    <w:family w:val="auto"/>
    <w:pitch w:val="default"/>
    <w:sig w:usb0="A00002BF" w:usb1="38CF7CFA" w:usb2="00000016" w:usb3="00000000" w:csb0="0004000F" w:csb1="00000000"/>
  </w:font>
  <w:font w:name="PMingLiU-ExtB">
    <w:panose1 w:val="02020500000000000000"/>
    <w:charset w:val="88"/>
    <w:family w:val="auto"/>
    <w:pitch w:val="default"/>
    <w:sig w:usb0="8000002F" w:usb1="02000008" w:usb2="00000000" w:usb3="00000000" w:csb0="001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ind w:firstLine="6237" w:firstLineChars="2970"/>
      <w:jc w:val="right"/>
      <w:rPr>
        <w:i/>
        <w:iCs/>
        <w:sz w:val="21"/>
        <w:szCs w:val="21"/>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hideSpellingErrors/>
  <w:hideGrammaticalErrors/>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MLIwMbIwsDQ2MjIyNjZR0lEKTi0uzszPAykwrAUA/XItfSwAAAA="/>
    <w:docVar w:name="commondata" w:val="eyJoZGlkIjoiM2QwNDZmNjNjNmEwYjExZmNjYmZhZDU3YjhlZTA1NjEifQ=="/>
  </w:docVars>
  <w:rsids>
    <w:rsidRoot w:val="00946093"/>
    <w:rsid w:val="00007DCB"/>
    <w:rsid w:val="00013540"/>
    <w:rsid w:val="000148B7"/>
    <w:rsid w:val="00015734"/>
    <w:rsid w:val="00043DB1"/>
    <w:rsid w:val="00045CF7"/>
    <w:rsid w:val="0007691C"/>
    <w:rsid w:val="0007696C"/>
    <w:rsid w:val="000779D4"/>
    <w:rsid w:val="000844DB"/>
    <w:rsid w:val="00093743"/>
    <w:rsid w:val="00094054"/>
    <w:rsid w:val="000A48D3"/>
    <w:rsid w:val="000A7D80"/>
    <w:rsid w:val="000C0942"/>
    <w:rsid w:val="000D7B77"/>
    <w:rsid w:val="000F3038"/>
    <w:rsid w:val="000F6092"/>
    <w:rsid w:val="000F622D"/>
    <w:rsid w:val="000F7931"/>
    <w:rsid w:val="00100F0A"/>
    <w:rsid w:val="0010145D"/>
    <w:rsid w:val="00107779"/>
    <w:rsid w:val="001230CF"/>
    <w:rsid w:val="0012488C"/>
    <w:rsid w:val="001328D3"/>
    <w:rsid w:val="00136F34"/>
    <w:rsid w:val="00145A7D"/>
    <w:rsid w:val="00150EB0"/>
    <w:rsid w:val="00156A84"/>
    <w:rsid w:val="001651E6"/>
    <w:rsid w:val="0016566A"/>
    <w:rsid w:val="001742CA"/>
    <w:rsid w:val="0018013E"/>
    <w:rsid w:val="001801A8"/>
    <w:rsid w:val="00185356"/>
    <w:rsid w:val="00197EF7"/>
    <w:rsid w:val="001B09FA"/>
    <w:rsid w:val="001B6FF9"/>
    <w:rsid w:val="001C2F2F"/>
    <w:rsid w:val="001C561E"/>
    <w:rsid w:val="001D5E8E"/>
    <w:rsid w:val="001E0380"/>
    <w:rsid w:val="001F0720"/>
    <w:rsid w:val="001F1174"/>
    <w:rsid w:val="001F329D"/>
    <w:rsid w:val="0020203F"/>
    <w:rsid w:val="00203FCA"/>
    <w:rsid w:val="00211511"/>
    <w:rsid w:val="00215FBA"/>
    <w:rsid w:val="0022508D"/>
    <w:rsid w:val="0023737E"/>
    <w:rsid w:val="00243F0A"/>
    <w:rsid w:val="002447BC"/>
    <w:rsid w:val="00261F18"/>
    <w:rsid w:val="00266140"/>
    <w:rsid w:val="0027426D"/>
    <w:rsid w:val="002765E0"/>
    <w:rsid w:val="0027683C"/>
    <w:rsid w:val="00280704"/>
    <w:rsid w:val="0029075B"/>
    <w:rsid w:val="00291177"/>
    <w:rsid w:val="00295660"/>
    <w:rsid w:val="002A2F02"/>
    <w:rsid w:val="002A3B05"/>
    <w:rsid w:val="002A3EDA"/>
    <w:rsid w:val="002A6A2C"/>
    <w:rsid w:val="002B1728"/>
    <w:rsid w:val="002B345D"/>
    <w:rsid w:val="002B7D10"/>
    <w:rsid w:val="002C3EF7"/>
    <w:rsid w:val="002C593D"/>
    <w:rsid w:val="002C5D46"/>
    <w:rsid w:val="002D2F0B"/>
    <w:rsid w:val="002D3096"/>
    <w:rsid w:val="002D34B1"/>
    <w:rsid w:val="002D74F9"/>
    <w:rsid w:val="002E2D56"/>
    <w:rsid w:val="002E3A8B"/>
    <w:rsid w:val="002F2EB7"/>
    <w:rsid w:val="00307E43"/>
    <w:rsid w:val="00310937"/>
    <w:rsid w:val="00311A3C"/>
    <w:rsid w:val="00312586"/>
    <w:rsid w:val="00320AA5"/>
    <w:rsid w:val="00321B76"/>
    <w:rsid w:val="003234A9"/>
    <w:rsid w:val="00323DA9"/>
    <w:rsid w:val="00330C7F"/>
    <w:rsid w:val="0033132B"/>
    <w:rsid w:val="00331337"/>
    <w:rsid w:val="003331A2"/>
    <w:rsid w:val="00343349"/>
    <w:rsid w:val="00364A5F"/>
    <w:rsid w:val="0037009B"/>
    <w:rsid w:val="003702EB"/>
    <w:rsid w:val="003734C7"/>
    <w:rsid w:val="003754D3"/>
    <w:rsid w:val="003826EE"/>
    <w:rsid w:val="00382857"/>
    <w:rsid w:val="003838DE"/>
    <w:rsid w:val="00384357"/>
    <w:rsid w:val="003A2F66"/>
    <w:rsid w:val="003A3150"/>
    <w:rsid w:val="003A3C38"/>
    <w:rsid w:val="003A7638"/>
    <w:rsid w:val="003C005C"/>
    <w:rsid w:val="003C0D8B"/>
    <w:rsid w:val="003C3199"/>
    <w:rsid w:val="003C54A5"/>
    <w:rsid w:val="003C5C83"/>
    <w:rsid w:val="003C5EFE"/>
    <w:rsid w:val="003D1ECC"/>
    <w:rsid w:val="003E509B"/>
    <w:rsid w:val="003E60AC"/>
    <w:rsid w:val="00400304"/>
    <w:rsid w:val="00401DC0"/>
    <w:rsid w:val="00405E00"/>
    <w:rsid w:val="00405FE2"/>
    <w:rsid w:val="0040700B"/>
    <w:rsid w:val="004109E8"/>
    <w:rsid w:val="00411F91"/>
    <w:rsid w:val="004138AE"/>
    <w:rsid w:val="004171D2"/>
    <w:rsid w:val="004205B0"/>
    <w:rsid w:val="00423956"/>
    <w:rsid w:val="0043165B"/>
    <w:rsid w:val="004347DD"/>
    <w:rsid w:val="00440639"/>
    <w:rsid w:val="00447369"/>
    <w:rsid w:val="00450ADB"/>
    <w:rsid w:val="0045265F"/>
    <w:rsid w:val="0045430B"/>
    <w:rsid w:val="00476557"/>
    <w:rsid w:val="004778F0"/>
    <w:rsid w:val="00497988"/>
    <w:rsid w:val="00497E2D"/>
    <w:rsid w:val="004A1DAF"/>
    <w:rsid w:val="004A34C7"/>
    <w:rsid w:val="004A48A9"/>
    <w:rsid w:val="004A68DD"/>
    <w:rsid w:val="004A7EFC"/>
    <w:rsid w:val="004B2473"/>
    <w:rsid w:val="004B50D9"/>
    <w:rsid w:val="004C4E78"/>
    <w:rsid w:val="004C620D"/>
    <w:rsid w:val="004D4952"/>
    <w:rsid w:val="004F3639"/>
    <w:rsid w:val="004F6F28"/>
    <w:rsid w:val="004F7232"/>
    <w:rsid w:val="00514988"/>
    <w:rsid w:val="0051582D"/>
    <w:rsid w:val="005268BF"/>
    <w:rsid w:val="005402AB"/>
    <w:rsid w:val="005515EE"/>
    <w:rsid w:val="00561996"/>
    <w:rsid w:val="005638ED"/>
    <w:rsid w:val="005646D6"/>
    <w:rsid w:val="00565413"/>
    <w:rsid w:val="00577435"/>
    <w:rsid w:val="0058105D"/>
    <w:rsid w:val="005966C0"/>
    <w:rsid w:val="005A47D9"/>
    <w:rsid w:val="005B1AD8"/>
    <w:rsid w:val="005C79A3"/>
    <w:rsid w:val="005D09BB"/>
    <w:rsid w:val="005D7429"/>
    <w:rsid w:val="005E7CC0"/>
    <w:rsid w:val="005F08B8"/>
    <w:rsid w:val="005F15E9"/>
    <w:rsid w:val="005F1860"/>
    <w:rsid w:val="006123C3"/>
    <w:rsid w:val="00613E9C"/>
    <w:rsid w:val="006239E8"/>
    <w:rsid w:val="0064185F"/>
    <w:rsid w:val="006523CF"/>
    <w:rsid w:val="00652FAB"/>
    <w:rsid w:val="00654584"/>
    <w:rsid w:val="006553DD"/>
    <w:rsid w:val="00661085"/>
    <w:rsid w:val="006708C8"/>
    <w:rsid w:val="006715AA"/>
    <w:rsid w:val="00676B35"/>
    <w:rsid w:val="00681AA5"/>
    <w:rsid w:val="00694E32"/>
    <w:rsid w:val="00695F1F"/>
    <w:rsid w:val="006A5C43"/>
    <w:rsid w:val="006B391A"/>
    <w:rsid w:val="006C3EC6"/>
    <w:rsid w:val="006D3B87"/>
    <w:rsid w:val="006E582C"/>
    <w:rsid w:val="006F2826"/>
    <w:rsid w:val="006F791E"/>
    <w:rsid w:val="00705C0D"/>
    <w:rsid w:val="00707E00"/>
    <w:rsid w:val="00723077"/>
    <w:rsid w:val="00723204"/>
    <w:rsid w:val="00744EF0"/>
    <w:rsid w:val="00745190"/>
    <w:rsid w:val="00747D31"/>
    <w:rsid w:val="00750128"/>
    <w:rsid w:val="00750611"/>
    <w:rsid w:val="007637AD"/>
    <w:rsid w:val="0076705D"/>
    <w:rsid w:val="0077069A"/>
    <w:rsid w:val="00771535"/>
    <w:rsid w:val="0077162D"/>
    <w:rsid w:val="0077269E"/>
    <w:rsid w:val="00774ACA"/>
    <w:rsid w:val="00777450"/>
    <w:rsid w:val="00780CF7"/>
    <w:rsid w:val="00781013"/>
    <w:rsid w:val="00784133"/>
    <w:rsid w:val="007918C4"/>
    <w:rsid w:val="0079231E"/>
    <w:rsid w:val="007A32C9"/>
    <w:rsid w:val="007A384F"/>
    <w:rsid w:val="007A7FE5"/>
    <w:rsid w:val="007B1EB0"/>
    <w:rsid w:val="007C1899"/>
    <w:rsid w:val="007C5EA7"/>
    <w:rsid w:val="007C6C97"/>
    <w:rsid w:val="007C780C"/>
    <w:rsid w:val="007D0852"/>
    <w:rsid w:val="007D6853"/>
    <w:rsid w:val="007E2300"/>
    <w:rsid w:val="007F7315"/>
    <w:rsid w:val="0080237D"/>
    <w:rsid w:val="00812267"/>
    <w:rsid w:val="008135F8"/>
    <w:rsid w:val="00823B32"/>
    <w:rsid w:val="008346D5"/>
    <w:rsid w:val="00851257"/>
    <w:rsid w:val="00852CC5"/>
    <w:rsid w:val="00870B29"/>
    <w:rsid w:val="008735C9"/>
    <w:rsid w:val="008749C7"/>
    <w:rsid w:val="00877DB8"/>
    <w:rsid w:val="00883E0D"/>
    <w:rsid w:val="00886106"/>
    <w:rsid w:val="00893514"/>
    <w:rsid w:val="008A2D58"/>
    <w:rsid w:val="008C6BD6"/>
    <w:rsid w:val="008D593A"/>
    <w:rsid w:val="008D5D3E"/>
    <w:rsid w:val="008E0562"/>
    <w:rsid w:val="008F42A0"/>
    <w:rsid w:val="008F57B9"/>
    <w:rsid w:val="009019A9"/>
    <w:rsid w:val="009021DB"/>
    <w:rsid w:val="00913571"/>
    <w:rsid w:val="00915552"/>
    <w:rsid w:val="009226A8"/>
    <w:rsid w:val="00931EFD"/>
    <w:rsid w:val="00935B5F"/>
    <w:rsid w:val="0094218E"/>
    <w:rsid w:val="009454C7"/>
    <w:rsid w:val="00946093"/>
    <w:rsid w:val="009621B3"/>
    <w:rsid w:val="0097585F"/>
    <w:rsid w:val="009903D3"/>
    <w:rsid w:val="00996ECD"/>
    <w:rsid w:val="009A6023"/>
    <w:rsid w:val="009D2094"/>
    <w:rsid w:val="009D33B7"/>
    <w:rsid w:val="009E40CC"/>
    <w:rsid w:val="009E4BB9"/>
    <w:rsid w:val="009F0FD4"/>
    <w:rsid w:val="00A121B3"/>
    <w:rsid w:val="00A129F8"/>
    <w:rsid w:val="00A219C0"/>
    <w:rsid w:val="00A2328D"/>
    <w:rsid w:val="00A360D7"/>
    <w:rsid w:val="00A41374"/>
    <w:rsid w:val="00A522F1"/>
    <w:rsid w:val="00A5691E"/>
    <w:rsid w:val="00A60C39"/>
    <w:rsid w:val="00A65E09"/>
    <w:rsid w:val="00A718A7"/>
    <w:rsid w:val="00A81215"/>
    <w:rsid w:val="00A83463"/>
    <w:rsid w:val="00AA5105"/>
    <w:rsid w:val="00AB6B68"/>
    <w:rsid w:val="00AC57B7"/>
    <w:rsid w:val="00AE1160"/>
    <w:rsid w:val="00AE6AED"/>
    <w:rsid w:val="00AF08F5"/>
    <w:rsid w:val="00B06491"/>
    <w:rsid w:val="00B13CEE"/>
    <w:rsid w:val="00B30D38"/>
    <w:rsid w:val="00B36CB9"/>
    <w:rsid w:val="00B36EA4"/>
    <w:rsid w:val="00B40BEC"/>
    <w:rsid w:val="00B436CC"/>
    <w:rsid w:val="00B43DBC"/>
    <w:rsid w:val="00B6597C"/>
    <w:rsid w:val="00B763BB"/>
    <w:rsid w:val="00B8210E"/>
    <w:rsid w:val="00B8318D"/>
    <w:rsid w:val="00B85CDB"/>
    <w:rsid w:val="00B86150"/>
    <w:rsid w:val="00B86934"/>
    <w:rsid w:val="00B90AAA"/>
    <w:rsid w:val="00B90C83"/>
    <w:rsid w:val="00B92999"/>
    <w:rsid w:val="00B935FC"/>
    <w:rsid w:val="00BA03F3"/>
    <w:rsid w:val="00BB45E6"/>
    <w:rsid w:val="00BB4B2B"/>
    <w:rsid w:val="00BC2403"/>
    <w:rsid w:val="00BC5049"/>
    <w:rsid w:val="00BD4DBA"/>
    <w:rsid w:val="00BD7FA0"/>
    <w:rsid w:val="00BE6D9A"/>
    <w:rsid w:val="00C05EAE"/>
    <w:rsid w:val="00C071B0"/>
    <w:rsid w:val="00C1039A"/>
    <w:rsid w:val="00C43327"/>
    <w:rsid w:val="00C477FB"/>
    <w:rsid w:val="00C5094F"/>
    <w:rsid w:val="00C51A4E"/>
    <w:rsid w:val="00C51FB7"/>
    <w:rsid w:val="00C5548B"/>
    <w:rsid w:val="00C56AF1"/>
    <w:rsid w:val="00C57048"/>
    <w:rsid w:val="00C6424E"/>
    <w:rsid w:val="00C66F4C"/>
    <w:rsid w:val="00C83824"/>
    <w:rsid w:val="00C9214D"/>
    <w:rsid w:val="00C939CC"/>
    <w:rsid w:val="00CA5892"/>
    <w:rsid w:val="00CA65C1"/>
    <w:rsid w:val="00CB669F"/>
    <w:rsid w:val="00CB7326"/>
    <w:rsid w:val="00CD0BBB"/>
    <w:rsid w:val="00CD0D64"/>
    <w:rsid w:val="00CD5518"/>
    <w:rsid w:val="00CD7692"/>
    <w:rsid w:val="00CF62C8"/>
    <w:rsid w:val="00D03B4A"/>
    <w:rsid w:val="00D03BCC"/>
    <w:rsid w:val="00D04012"/>
    <w:rsid w:val="00D04EDF"/>
    <w:rsid w:val="00D10D0F"/>
    <w:rsid w:val="00D158DC"/>
    <w:rsid w:val="00D15B5C"/>
    <w:rsid w:val="00D35077"/>
    <w:rsid w:val="00D36237"/>
    <w:rsid w:val="00D512FB"/>
    <w:rsid w:val="00D530D7"/>
    <w:rsid w:val="00D61C7C"/>
    <w:rsid w:val="00D6605C"/>
    <w:rsid w:val="00D67A02"/>
    <w:rsid w:val="00D74F70"/>
    <w:rsid w:val="00D91AF3"/>
    <w:rsid w:val="00DA56D5"/>
    <w:rsid w:val="00DA58DA"/>
    <w:rsid w:val="00DC3DF8"/>
    <w:rsid w:val="00DD6564"/>
    <w:rsid w:val="00DE3981"/>
    <w:rsid w:val="00DF301E"/>
    <w:rsid w:val="00E0602B"/>
    <w:rsid w:val="00E071C4"/>
    <w:rsid w:val="00E07228"/>
    <w:rsid w:val="00E125B3"/>
    <w:rsid w:val="00E15671"/>
    <w:rsid w:val="00E2436F"/>
    <w:rsid w:val="00E2660C"/>
    <w:rsid w:val="00E274A6"/>
    <w:rsid w:val="00E33EAB"/>
    <w:rsid w:val="00E35130"/>
    <w:rsid w:val="00E356F8"/>
    <w:rsid w:val="00E364DC"/>
    <w:rsid w:val="00E4381E"/>
    <w:rsid w:val="00E46E93"/>
    <w:rsid w:val="00E52318"/>
    <w:rsid w:val="00E53585"/>
    <w:rsid w:val="00E55C3F"/>
    <w:rsid w:val="00E64DEF"/>
    <w:rsid w:val="00E74123"/>
    <w:rsid w:val="00E7654A"/>
    <w:rsid w:val="00E9666B"/>
    <w:rsid w:val="00EA49CC"/>
    <w:rsid w:val="00EB1C39"/>
    <w:rsid w:val="00EC3246"/>
    <w:rsid w:val="00ED7D8B"/>
    <w:rsid w:val="00EE1A8F"/>
    <w:rsid w:val="00EE30CE"/>
    <w:rsid w:val="00EE6787"/>
    <w:rsid w:val="00EE6E13"/>
    <w:rsid w:val="00EF78AB"/>
    <w:rsid w:val="00F04672"/>
    <w:rsid w:val="00F0505D"/>
    <w:rsid w:val="00F25559"/>
    <w:rsid w:val="00F2631B"/>
    <w:rsid w:val="00F270D8"/>
    <w:rsid w:val="00F37725"/>
    <w:rsid w:val="00F404A1"/>
    <w:rsid w:val="00F42657"/>
    <w:rsid w:val="00F43AEE"/>
    <w:rsid w:val="00F51F8E"/>
    <w:rsid w:val="00F64546"/>
    <w:rsid w:val="00F904B0"/>
    <w:rsid w:val="00F94798"/>
    <w:rsid w:val="00F9646F"/>
    <w:rsid w:val="00F97A89"/>
    <w:rsid w:val="00FC1245"/>
    <w:rsid w:val="00FC27C0"/>
    <w:rsid w:val="00FD69E4"/>
    <w:rsid w:val="00FE2615"/>
    <w:rsid w:val="00FF5F89"/>
    <w:rsid w:val="01B84D26"/>
    <w:rsid w:val="06A012A4"/>
    <w:rsid w:val="085D7EC7"/>
    <w:rsid w:val="0F680BF1"/>
    <w:rsid w:val="115A7068"/>
    <w:rsid w:val="1C7F77CD"/>
    <w:rsid w:val="1DFC15B7"/>
    <w:rsid w:val="20BC7B42"/>
    <w:rsid w:val="229F5759"/>
    <w:rsid w:val="23AD3340"/>
    <w:rsid w:val="26B03985"/>
    <w:rsid w:val="29A42A5E"/>
    <w:rsid w:val="2A691C71"/>
    <w:rsid w:val="360A76A1"/>
    <w:rsid w:val="38E42B66"/>
    <w:rsid w:val="40CC070D"/>
    <w:rsid w:val="44931453"/>
    <w:rsid w:val="4B977F95"/>
    <w:rsid w:val="4EC80EC9"/>
    <w:rsid w:val="55964152"/>
    <w:rsid w:val="56AF6ADB"/>
    <w:rsid w:val="59CD3583"/>
    <w:rsid w:val="5DDE59F2"/>
    <w:rsid w:val="64BC54D8"/>
    <w:rsid w:val="650E16D8"/>
    <w:rsid w:val="6E7E313B"/>
    <w:rsid w:val="6F6C545A"/>
    <w:rsid w:val="71F779A5"/>
    <w:rsid w:val="78B039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nhideWhenUsed="0" w:uiPriority="0"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nhideWhenUsed="0"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autoRedefine/>
    <w:qFormat/>
    <w:uiPriority w:val="0"/>
    <w:pPr>
      <w:spacing w:before="100" w:beforeAutospacing="1" w:after="240"/>
      <w:jc w:val="both"/>
    </w:pPr>
    <w:rPr>
      <w:rFonts w:ascii="Times New Roman" w:hAnsi="Times New Roman" w:eastAsia="宋体" w:cs="Times New Roman"/>
      <w:kern w:val="0"/>
      <w:sz w:val="24"/>
      <w:szCs w:val="24"/>
      <w:lang w:val="en-US" w:eastAsia="zh-CN" w:bidi="ar-SA"/>
    </w:rPr>
  </w:style>
  <w:style w:type="paragraph" w:styleId="2">
    <w:name w:val="heading 1"/>
    <w:basedOn w:val="1"/>
    <w:next w:val="1"/>
    <w:autoRedefine/>
    <w:qFormat/>
    <w:uiPriority w:val="9"/>
    <w:pPr>
      <w:spacing w:after="156" w:afterLines="50" w:line="640" w:lineRule="exact"/>
      <w:outlineLvl w:val="0"/>
    </w:pPr>
    <w:rPr>
      <w:rFonts w:ascii="方正小标宋简体" w:eastAsia="方正小标宋简体"/>
      <w:sz w:val="44"/>
      <w:szCs w:val="36"/>
    </w:rPr>
  </w:style>
  <w:style w:type="character" w:default="1" w:styleId="11">
    <w:name w:val="Default Paragraph Font"/>
    <w:autoRedefine/>
    <w:semiHidden/>
    <w:unhideWhenUsed/>
    <w:qFormat/>
    <w:uiPriority w:val="1"/>
  </w:style>
  <w:style w:type="table" w:default="1" w:styleId="9">
    <w:name w:val="Normal Table"/>
    <w:autoRedefine/>
    <w:semiHidden/>
    <w:unhideWhenUsed/>
    <w:qFormat/>
    <w:uiPriority w:val="99"/>
    <w:tblPr>
      <w:tblCellMar>
        <w:top w:w="0" w:type="dxa"/>
        <w:left w:w="108" w:type="dxa"/>
        <w:bottom w:w="0" w:type="dxa"/>
        <w:right w:w="108" w:type="dxa"/>
      </w:tblCellMar>
    </w:tblPr>
  </w:style>
  <w:style w:type="paragraph" w:styleId="3">
    <w:name w:val="annotation text"/>
    <w:basedOn w:val="1"/>
    <w:link w:val="19"/>
    <w:autoRedefine/>
    <w:qFormat/>
    <w:uiPriority w:val="0"/>
    <w:pPr>
      <w:spacing w:before="0" w:beforeAutospacing="0" w:after="0"/>
      <w:jc w:val="left"/>
    </w:pPr>
    <w:rPr>
      <w:rFonts w:ascii="PMingLiU" w:hAnsi="PMingLiU" w:eastAsia="PMingLiU" w:cs="PMingLiU"/>
      <w:sz w:val="20"/>
      <w:szCs w:val="20"/>
      <w:lang w:eastAsia="zh-TW"/>
    </w:rPr>
  </w:style>
  <w:style w:type="paragraph" w:styleId="4">
    <w:name w:val="Body Text"/>
    <w:basedOn w:val="1"/>
    <w:link w:val="14"/>
    <w:autoRedefine/>
    <w:unhideWhenUsed/>
    <w:qFormat/>
    <w:uiPriority w:val="99"/>
    <w:rPr>
      <w:rFonts w:cs="Simplified Arabic"/>
    </w:rPr>
  </w:style>
  <w:style w:type="paragraph" w:styleId="5">
    <w:name w:val="Balloon Text"/>
    <w:basedOn w:val="1"/>
    <w:link w:val="18"/>
    <w:autoRedefine/>
    <w:semiHidden/>
    <w:unhideWhenUsed/>
    <w:qFormat/>
    <w:uiPriority w:val="99"/>
    <w:pPr>
      <w:spacing w:before="0" w:after="0"/>
    </w:pPr>
    <w:rPr>
      <w:sz w:val="18"/>
      <w:szCs w:val="18"/>
    </w:rPr>
  </w:style>
  <w:style w:type="paragraph" w:styleId="6">
    <w:name w:val="footer"/>
    <w:basedOn w:val="1"/>
    <w:link w:val="17"/>
    <w:autoRedefine/>
    <w:unhideWhenUsed/>
    <w:qFormat/>
    <w:uiPriority w:val="99"/>
    <w:pPr>
      <w:tabs>
        <w:tab w:val="center" w:pos="4153"/>
        <w:tab w:val="right" w:pos="8306"/>
      </w:tabs>
      <w:snapToGrid w:val="0"/>
      <w:jc w:val="left"/>
    </w:pPr>
    <w:rPr>
      <w:sz w:val="18"/>
      <w:szCs w:val="18"/>
    </w:rPr>
  </w:style>
  <w:style w:type="paragraph" w:styleId="7">
    <w:name w:val="header"/>
    <w:basedOn w:val="1"/>
    <w:link w:val="16"/>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annotation subject"/>
    <w:basedOn w:val="3"/>
    <w:next w:val="3"/>
    <w:link w:val="20"/>
    <w:autoRedefine/>
    <w:semiHidden/>
    <w:unhideWhenUsed/>
    <w:qFormat/>
    <w:uiPriority w:val="99"/>
    <w:pPr>
      <w:spacing w:before="100" w:beforeAutospacing="1" w:after="240"/>
    </w:pPr>
    <w:rPr>
      <w:rFonts w:ascii="Times New Roman" w:hAnsi="Times New Roman" w:eastAsia="宋体" w:cs="Times New Roman"/>
      <w:b/>
      <w:bCs/>
      <w:sz w:val="24"/>
      <w:szCs w:val="24"/>
      <w:lang w:eastAsia="zh-CN"/>
    </w:rPr>
  </w:style>
  <w:style w:type="table" w:styleId="10">
    <w:name w:val="Table Grid"/>
    <w:basedOn w:val="9"/>
    <w:autoRedefine/>
    <w:qFormat/>
    <w:uiPriority w:val="39"/>
    <w:rPr>
      <w:rFonts w:ascii="Calibri" w:hAnsi="Calibri" w:eastAsia="等线"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Hyperlink"/>
    <w:basedOn w:val="11"/>
    <w:autoRedefine/>
    <w:unhideWhenUsed/>
    <w:qFormat/>
    <w:uiPriority w:val="99"/>
    <w:rPr>
      <w:color w:val="0563C1" w:themeColor="hyperlink"/>
      <w:u w:val="single"/>
      <w14:textFill>
        <w14:solidFill>
          <w14:schemeClr w14:val="hlink"/>
        </w14:solidFill>
      </w14:textFill>
    </w:rPr>
  </w:style>
  <w:style w:type="character" w:styleId="13">
    <w:name w:val="annotation reference"/>
    <w:autoRedefine/>
    <w:qFormat/>
    <w:uiPriority w:val="99"/>
    <w:rPr>
      <w:sz w:val="16"/>
    </w:rPr>
  </w:style>
  <w:style w:type="character" w:customStyle="1" w:styleId="14">
    <w:name w:val="正文文本 字符"/>
    <w:basedOn w:val="11"/>
    <w:link w:val="4"/>
    <w:autoRedefine/>
    <w:qFormat/>
    <w:uiPriority w:val="99"/>
    <w:rPr>
      <w:rFonts w:ascii="Times New Roman" w:hAnsi="Times New Roman" w:eastAsia="宋体" w:cs="Simplified Arabic"/>
      <w:kern w:val="0"/>
      <w:sz w:val="24"/>
    </w:rPr>
  </w:style>
  <w:style w:type="paragraph" w:customStyle="1" w:styleId="15">
    <w:name w:val="Revision"/>
    <w:autoRedefine/>
    <w:hidden/>
    <w:semiHidden/>
    <w:qFormat/>
    <w:uiPriority w:val="99"/>
    <w:rPr>
      <w:rFonts w:ascii="Times New Roman" w:hAnsi="Times New Roman" w:eastAsia="宋体" w:cs="Times New Roman"/>
      <w:kern w:val="0"/>
      <w:sz w:val="24"/>
      <w:szCs w:val="24"/>
      <w:lang w:val="en-US" w:eastAsia="zh-CN" w:bidi="ar-SA"/>
    </w:rPr>
  </w:style>
  <w:style w:type="character" w:customStyle="1" w:styleId="16">
    <w:name w:val="页眉 字符"/>
    <w:basedOn w:val="11"/>
    <w:link w:val="7"/>
    <w:autoRedefine/>
    <w:qFormat/>
    <w:uiPriority w:val="99"/>
    <w:rPr>
      <w:rFonts w:ascii="Times New Roman" w:hAnsi="Times New Roman" w:eastAsia="宋体" w:cs="Times New Roman"/>
      <w:kern w:val="0"/>
      <w:sz w:val="18"/>
      <w:szCs w:val="18"/>
    </w:rPr>
  </w:style>
  <w:style w:type="character" w:customStyle="1" w:styleId="17">
    <w:name w:val="页脚 字符"/>
    <w:basedOn w:val="11"/>
    <w:link w:val="6"/>
    <w:autoRedefine/>
    <w:qFormat/>
    <w:uiPriority w:val="99"/>
    <w:rPr>
      <w:rFonts w:ascii="Times New Roman" w:hAnsi="Times New Roman" w:eastAsia="宋体" w:cs="Times New Roman"/>
      <w:kern w:val="0"/>
      <w:sz w:val="18"/>
      <w:szCs w:val="18"/>
    </w:rPr>
  </w:style>
  <w:style w:type="character" w:customStyle="1" w:styleId="18">
    <w:name w:val="批注框文本 字符"/>
    <w:basedOn w:val="11"/>
    <w:link w:val="5"/>
    <w:autoRedefine/>
    <w:semiHidden/>
    <w:qFormat/>
    <w:uiPriority w:val="99"/>
    <w:rPr>
      <w:rFonts w:ascii="Times New Roman" w:hAnsi="Times New Roman" w:eastAsia="宋体" w:cs="Times New Roman"/>
      <w:kern w:val="0"/>
      <w:sz w:val="18"/>
      <w:szCs w:val="18"/>
    </w:rPr>
  </w:style>
  <w:style w:type="character" w:customStyle="1" w:styleId="19">
    <w:name w:val="批注文字 字符"/>
    <w:basedOn w:val="11"/>
    <w:link w:val="3"/>
    <w:autoRedefine/>
    <w:qFormat/>
    <w:uiPriority w:val="0"/>
    <w:rPr>
      <w:rFonts w:ascii="PMingLiU" w:hAnsi="PMingLiU" w:eastAsia="PMingLiU" w:cs="PMingLiU"/>
      <w:kern w:val="0"/>
      <w:sz w:val="20"/>
      <w:szCs w:val="20"/>
      <w:lang w:eastAsia="zh-TW"/>
    </w:rPr>
  </w:style>
  <w:style w:type="character" w:customStyle="1" w:styleId="20">
    <w:name w:val="批注主题 字符"/>
    <w:basedOn w:val="19"/>
    <w:link w:val="8"/>
    <w:autoRedefine/>
    <w:semiHidden/>
    <w:qFormat/>
    <w:uiPriority w:val="99"/>
    <w:rPr>
      <w:rFonts w:ascii="Times New Roman" w:hAnsi="Times New Roman" w:eastAsia="宋体" w:cs="Times New Roman"/>
      <w:b/>
      <w:bCs/>
      <w:kern w:val="0"/>
      <w:sz w:val="24"/>
      <w:szCs w:val="20"/>
      <w:lang w:eastAsia="zh-TW"/>
    </w:rPr>
  </w:style>
  <w:style w:type="character" w:customStyle="1" w:styleId="21">
    <w:name w:val="Unresolved Mention"/>
    <w:basedOn w:val="11"/>
    <w:autoRedefine/>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A25037-CCD7-D841-81CC-E8BE9C649E3F}">
  <ds:schemaRefs/>
</ds:datastoreItem>
</file>

<file path=docProps/app.xml><?xml version="1.0" encoding="utf-8"?>
<Properties xmlns="http://schemas.openxmlformats.org/officeDocument/2006/extended-properties" xmlns:vt="http://schemas.openxmlformats.org/officeDocument/2006/docPropsVTypes">
  <Template>Normal.dotm</Template>
  <Pages>2</Pages>
  <Words>161</Words>
  <Characters>923</Characters>
  <Lines>7</Lines>
  <Paragraphs>2</Paragraphs>
  <TotalTime>12</TotalTime>
  <ScaleCrop>false</ScaleCrop>
  <LinksUpToDate>false</LinksUpToDate>
  <CharactersWithSpaces>1082</CharactersWithSpaces>
  <Application>WPS Office_12.1.0.16250_F1E327BC-269C-435d-A152-05C5408002CA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2024-01-23T02:04:00Z</dcterms:created>
  <dc:creator>Sunland</dc:creator>
  <cp:lastModifiedBy>张华薇</cp:lastModifiedBy>
  <dcterms:modified xsi:type="dcterms:W3CDTF">2024-03-05T13:13:37Z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2052-12.1.0.16250</vt:lpwstr>
  </property>
  <property fmtid="{D5CDD505-2E9C-101B-9397-08002B2CF9AE}" pid="3" name="ICV">
    <vt:lpwstr>E3E8EE09114442F4AD9440D9ED65B056_13</vt:lpwstr>
  </property>
</Properties>
</file>