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E7E10" w14:textId="77777777" w:rsidR="00441B2F" w:rsidRDefault="00441B2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 w14:paraId="7D470413" w14:textId="77777777" w:rsidR="00441B2F" w:rsidRPr="00DB2334" w:rsidRDefault="006724EF">
      <w:pPr>
        <w:spacing w:line="440" w:lineRule="exact"/>
        <w:jc w:val="center"/>
        <w:rPr>
          <w:rFonts w:ascii="黑体" w:eastAsia="黑体" w:hAnsi="Times New Roman"/>
          <w:sz w:val="36"/>
          <w:szCs w:val="30"/>
        </w:rPr>
      </w:pPr>
      <w:r w:rsidRPr="00DB2334">
        <w:rPr>
          <w:rFonts w:ascii="黑体" w:eastAsia="黑体" w:hAnsi="Times New Roman" w:hint="eastAsia"/>
          <w:sz w:val="36"/>
          <w:szCs w:val="30"/>
        </w:rPr>
        <w:t>经营者集中简易案件公示表</w:t>
      </w:r>
    </w:p>
    <w:p w14:paraId="28744C0F" w14:textId="77777777" w:rsidR="00441B2F" w:rsidRDefault="00441B2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1096985F" w14:textId="77777777" w:rsidR="00441B2F" w:rsidRDefault="00441B2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A3266" w:rsidRPr="00DB2334" w14:paraId="51ADA7DA" w14:textId="77777777">
        <w:tc>
          <w:tcPr>
            <w:tcW w:w="1809" w:type="dxa"/>
            <w:shd w:val="clear" w:color="auto" w:fill="D9D9D9"/>
            <w:vAlign w:val="center"/>
          </w:tcPr>
          <w:p w14:paraId="7C601B79" w14:textId="77777777" w:rsidR="00441B2F" w:rsidRPr="00DB2334" w:rsidRDefault="006724E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E0ADC2F" w14:textId="5F880AE0" w:rsidR="00441B2F" w:rsidRPr="00DB2334" w:rsidRDefault="00EC3817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C381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川崎汽船株式会社与现代格罗唯视株式会社新设合营企业案</w:t>
            </w:r>
          </w:p>
        </w:tc>
      </w:tr>
      <w:tr w:rsidR="000A3266" w:rsidRPr="00DB2334" w14:paraId="0ED6FCE9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E0D398E" w14:textId="77777777" w:rsidR="00441B2F" w:rsidRPr="00DB2334" w:rsidRDefault="006724E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C65AA85" w14:textId="77777777" w:rsidR="00441B2F" w:rsidRPr="00DB2334" w:rsidRDefault="006724E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52B57E68" w14:textId="77777777" w:rsidR="003B79A6" w:rsidRPr="003B79A6" w:rsidRDefault="003B79A6" w:rsidP="003B79A6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 w:rsidRPr="003B79A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根据川崎汽船株式会社和现代格罗唯视株式会社（合称</w:t>
            </w:r>
            <w:r w:rsidRPr="003B79A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“</w:t>
            </w:r>
            <w:r w:rsidRPr="003B79A6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交易双方</w:t>
            </w:r>
            <w:r w:rsidRPr="003B79A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”</w:t>
            </w:r>
            <w:r w:rsidRPr="003B79A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）达成的协议，四家特殊目的合营企业将作为单船公司持有并出租</w:t>
            </w:r>
            <w:r w:rsidRPr="003B79A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4</w:t>
            </w:r>
            <w:r w:rsidRPr="003B79A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艘液化天然气（</w:t>
            </w:r>
            <w:r w:rsidRPr="003B79A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“</w:t>
            </w:r>
            <w:r w:rsidRPr="003B79A6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LNG</w:t>
            </w:r>
            <w:r w:rsidRPr="003B79A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”</w:t>
            </w:r>
            <w:r w:rsidRPr="003B79A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）运输船以提供</w:t>
            </w:r>
            <w:r w:rsidRPr="003B79A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LNG</w:t>
            </w:r>
            <w:r w:rsidRPr="003B79A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船运服务。相关船舶建造完成后将由卡塔尔能源承租，用于从卡塔尔和美国的产地运送</w:t>
            </w:r>
            <w:r w:rsidRPr="003B79A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LNG</w:t>
            </w:r>
            <w:r w:rsidRPr="003B79A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。</w:t>
            </w:r>
          </w:p>
          <w:p w14:paraId="103CFD88" w14:textId="17BF376C" w:rsidR="00441B2F" w:rsidRPr="003B79A6" w:rsidRDefault="003B79A6" w:rsidP="00A3113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B79A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本交易后，各占股</w:t>
            </w:r>
            <w:r w:rsidRPr="003B79A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50%</w:t>
            </w:r>
            <w:r w:rsidRPr="003B79A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的交易双方将共同控制四家特殊目的合营企业。</w:t>
            </w:r>
          </w:p>
        </w:tc>
      </w:tr>
      <w:tr w:rsidR="000A3266" w:rsidRPr="00DB2334" w14:paraId="79BC1B32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8B13A74" w14:textId="77777777" w:rsidR="000A3266" w:rsidRPr="00DB2334" w:rsidRDefault="000A3266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721C5CBD" w14:textId="77777777" w:rsidR="000A3266" w:rsidRPr="00DB2334" w:rsidRDefault="000A3266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51EAE61" w14:textId="77777777" w:rsidR="000A3266" w:rsidRPr="00DB2334" w:rsidRDefault="000A3266" w:rsidP="009626C8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3A24BD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川崎汽船株式会社（</w:t>
            </w:r>
            <w:r w:rsidR="003A24BD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3A24BD" w:rsidRPr="00DB2334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K-Line</w:t>
            </w:r>
            <w:r w:rsidR="003A24BD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3A24BD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  <w:tc>
          <w:tcPr>
            <w:tcW w:w="5153" w:type="dxa"/>
          </w:tcPr>
          <w:p w14:paraId="4514927C" w14:textId="77777777" w:rsidR="003A24BD" w:rsidRDefault="003A24BD" w:rsidP="003A24BD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K-Line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1919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月成立于日本，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于东京证券交易所上市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，主要从事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海运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业务。</w:t>
            </w:r>
          </w:p>
          <w:p w14:paraId="41447152" w14:textId="77777777" w:rsidR="00D020F0" w:rsidRPr="009F6FC0" w:rsidRDefault="003A24BD" w:rsidP="003A24BD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K-Line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无最终控制人。</w:t>
            </w:r>
          </w:p>
        </w:tc>
      </w:tr>
      <w:tr w:rsidR="000A3266" w:rsidRPr="00DB2334" w14:paraId="507A76D0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06C4726" w14:textId="77777777" w:rsidR="000A3266" w:rsidRPr="00DB2334" w:rsidRDefault="000A3266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4F24B8F" w14:textId="21CF0F59" w:rsidR="000A3266" w:rsidRPr="00DB2334" w:rsidRDefault="000A3266" w:rsidP="009626C8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EC3817" w:rsidRPr="00EC381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现代格罗唯视株式会社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EC3817" w:rsidRPr="00EC3817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格罗唯视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  <w:tc>
          <w:tcPr>
            <w:tcW w:w="5153" w:type="dxa"/>
          </w:tcPr>
          <w:p w14:paraId="2E495CC1" w14:textId="5443127C" w:rsidR="009F6FC0" w:rsidRDefault="00EC3817" w:rsidP="00D43C9C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 w:rsidRPr="00EC381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格罗唯视</w:t>
            </w:r>
            <w:r w:rsidR="000A3266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3A24B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0A3266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3A24B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3A24B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月成立于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韩国</w:t>
            </w:r>
            <w:r w:rsidR="000A3266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3A24B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韩国证券交易所</w:t>
            </w:r>
            <w:r w:rsidR="009F6FC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上市</w:t>
            </w:r>
            <w:r w:rsidR="009F6FC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3A24B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主要业务为</w:t>
            </w:r>
            <w:r w:rsidRPr="00EC381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物流配送</w:t>
            </w:r>
            <w:r w:rsidR="009F6FC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。</w:t>
            </w:r>
          </w:p>
          <w:p w14:paraId="4F782D9B" w14:textId="67B38E60" w:rsidR="000A3266" w:rsidRPr="00DB2334" w:rsidRDefault="00EC3817" w:rsidP="00D43C9C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C381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格罗唯视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无最终控制人。</w:t>
            </w:r>
          </w:p>
        </w:tc>
      </w:tr>
      <w:tr w:rsidR="000A3266" w:rsidRPr="00DB2334" w14:paraId="2A27453F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2A964E3" w14:textId="77777777" w:rsidR="00441B2F" w:rsidRPr="00DB2334" w:rsidRDefault="006724E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78FFE9B" w14:textId="77777777" w:rsidR="00441B2F" w:rsidRPr="00DB2334" w:rsidRDefault="00A3113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6724EF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6724EF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6724EF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6724EF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A3266" w:rsidRPr="00DB2334" w14:paraId="22F74235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3F985090" w14:textId="77777777" w:rsidR="00441B2F" w:rsidRPr="00DB2334" w:rsidRDefault="00441B2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1577383" w14:textId="77777777" w:rsidR="00441B2F" w:rsidRPr="00DB2334" w:rsidRDefault="006724EF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A3266" w:rsidRPr="00DB2334" w14:paraId="0FAC8725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2B3A806" w14:textId="77777777" w:rsidR="00441B2F" w:rsidRPr="00DB2334" w:rsidRDefault="00441B2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41AD92" w14:textId="77777777" w:rsidR="00441B2F" w:rsidRPr="00DB2334" w:rsidRDefault="000A3266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6724EF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6724EF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6724EF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6724EF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A3266" w:rsidRPr="00DB2334" w14:paraId="744AA0F5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8C95D65" w14:textId="77777777" w:rsidR="00441B2F" w:rsidRPr="00DB2334" w:rsidRDefault="00441B2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010EC6C" w14:textId="77777777" w:rsidR="00441B2F" w:rsidRPr="00DB2334" w:rsidRDefault="00A3113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724EF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6724EF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0A3266" w:rsidRPr="00DB2334" w14:paraId="2293EB51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E0DB9E8" w14:textId="77777777" w:rsidR="00441B2F" w:rsidRPr="00DB2334" w:rsidRDefault="00441B2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FA1F07F" w14:textId="77777777" w:rsidR="00441B2F" w:rsidRPr="00DB2334" w:rsidRDefault="00C923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6724EF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6724EF"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0A3266" w:rsidRPr="00DB2334" w14:paraId="14593CDC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FB7383A" w14:textId="77777777" w:rsidR="00441B2F" w:rsidRPr="00DB2334" w:rsidRDefault="00441B2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2F4CC94" w14:textId="77777777" w:rsidR="00441B2F" w:rsidRPr="00DB2334" w:rsidRDefault="006724EF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0A3266" w:rsidRPr="00DB2334" w14:paraId="53F299F5" w14:textId="77777777">
        <w:tc>
          <w:tcPr>
            <w:tcW w:w="1809" w:type="dxa"/>
            <w:shd w:val="clear" w:color="auto" w:fill="D9D9D9"/>
            <w:vAlign w:val="center"/>
          </w:tcPr>
          <w:p w14:paraId="3E807766" w14:textId="77777777" w:rsidR="00441B2F" w:rsidRPr="00DB2334" w:rsidRDefault="006724E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617155BA" w14:textId="77777777" w:rsidR="00441B2F" w:rsidRPr="00DB2334" w:rsidRDefault="00A31134" w:rsidP="00AD6C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B233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不适用。</w:t>
            </w:r>
          </w:p>
        </w:tc>
      </w:tr>
    </w:tbl>
    <w:p w14:paraId="1D094098" w14:textId="77777777" w:rsidR="00441B2F" w:rsidRDefault="00441B2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06FFD2FA" w14:textId="77777777" w:rsidR="00441B2F" w:rsidRDefault="00441B2F">
      <w:pPr>
        <w:spacing w:line="360" w:lineRule="auto"/>
        <w:ind w:firstLineChars="200" w:firstLine="560"/>
        <w:rPr>
          <w:rFonts w:ascii="方正仿宋_GBK" w:eastAsia="方正仿宋_GBK" w:hAnsi="Times New Roman"/>
          <w:sz w:val="28"/>
          <w:szCs w:val="28"/>
        </w:rPr>
      </w:pPr>
    </w:p>
    <w:sectPr w:rsidR="00441B2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A15D3" w14:textId="77777777" w:rsidR="000C234A" w:rsidRDefault="000C234A">
      <w:r>
        <w:separator/>
      </w:r>
    </w:p>
  </w:endnote>
  <w:endnote w:type="continuationSeparator" w:id="0">
    <w:p w14:paraId="426708A6" w14:textId="77777777" w:rsidR="000C234A" w:rsidRDefault="000C2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Microsoft YaHei UI"/>
    <w:charset w:val="86"/>
    <w:family w:val="modern"/>
    <w:pitch w:val="fixed"/>
    <w:sig w:usb0="00000000" w:usb1="38CF7CFA" w:usb2="00000016" w:usb3="00000000" w:csb0="00040001" w:csb1="00000000"/>
  </w:font>
  <w:font w:name="方正仿宋_GBK">
    <w:altName w:val="Microsoft YaHei UI"/>
    <w:charset w:val="86"/>
    <w:family w:val="script"/>
    <w:pitch w:val="fixed"/>
    <w:sig w:usb0="00000000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BHDC Content"/>
      <w:tag w:val="E9029F64E11541749BC479AD958AE941DOCID_FOOTER"/>
      <w:id w:val="1879965224"/>
      <w:placeholder>
        <w:docPart w:val="E172D6BC4E3547408F46E947D676732E"/>
      </w:placeholder>
    </w:sdtPr>
    <w:sdtEndPr/>
    <w:sdtContent>
      <w:p w14:paraId="41C28E16" w14:textId="732E5572" w:rsidR="0016728A" w:rsidRDefault="000B2624" w:rsidP="0016728A">
        <w:pPr>
          <w:pStyle w:val="DocId"/>
        </w:pPr>
        <w:r>
          <w:t>ASIA-#700977279v1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F9134" w14:textId="77777777" w:rsidR="000C234A" w:rsidRDefault="000C234A">
      <w:r>
        <w:separator/>
      </w:r>
    </w:p>
  </w:footnote>
  <w:footnote w:type="continuationSeparator" w:id="0">
    <w:p w14:paraId="7E09EB92" w14:textId="77777777" w:rsidR="000C234A" w:rsidRDefault="000C23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C2893" w14:textId="77777777" w:rsidR="00441B2F" w:rsidRDefault="006724EF">
    <w:pPr>
      <w:pStyle w:val="Header"/>
      <w:wordWrap w:val="0"/>
      <w:jc w:val="right"/>
      <w:rPr>
        <w:b/>
      </w:rPr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F24BE6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E625B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210ADB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978EDF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444139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A9E996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C8618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B6805B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3F8D8A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C4FA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684007">
    <w:abstractNumId w:val="9"/>
  </w:num>
  <w:num w:numId="2" w16cid:durableId="1999117740">
    <w:abstractNumId w:val="7"/>
  </w:num>
  <w:num w:numId="3" w16cid:durableId="851264556">
    <w:abstractNumId w:val="6"/>
  </w:num>
  <w:num w:numId="4" w16cid:durableId="1880627770">
    <w:abstractNumId w:val="5"/>
  </w:num>
  <w:num w:numId="5" w16cid:durableId="7295148">
    <w:abstractNumId w:val="4"/>
  </w:num>
  <w:num w:numId="6" w16cid:durableId="96411100">
    <w:abstractNumId w:val="8"/>
  </w:num>
  <w:num w:numId="7" w16cid:durableId="511993765">
    <w:abstractNumId w:val="3"/>
  </w:num>
  <w:num w:numId="8" w16cid:durableId="1194805811">
    <w:abstractNumId w:val="2"/>
  </w:num>
  <w:num w:numId="9" w16cid:durableId="151021291">
    <w:abstractNumId w:val="1"/>
  </w:num>
  <w:num w:numId="10" w16cid:durableId="166134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2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IManageDocInfoCache(AuthorId)" w:val="DYXU"/>
    <w:docVar w:name="IManageDocInfoCache(ClientId)" w:val="10248948"/>
    <w:docVar w:name="IManageDocInfoCache(DatabaseName)" w:val="ASIA"/>
    <w:docVar w:name="IManageDocInfoCache(DocumentDescription)" w:val="Oryx\China\Public Notice CHN v 20 May 2024"/>
    <w:docVar w:name="IManageDocInfoCache(DocumentNumber)" w:val="700977279"/>
    <w:docVar w:name="IManageDocInfoCache(DocumentVersion)" w:val="1"/>
    <w:docVar w:name="IManageDocInfoCache(Matter)" w:val="1001298368"/>
  </w:docVars>
  <w:rsids>
    <w:rsidRoot w:val="00441B2F"/>
    <w:rsid w:val="00055F76"/>
    <w:rsid w:val="00064101"/>
    <w:rsid w:val="00067985"/>
    <w:rsid w:val="00075D1F"/>
    <w:rsid w:val="00097DB9"/>
    <w:rsid w:val="000A3266"/>
    <w:rsid w:val="000B2624"/>
    <w:rsid w:val="000C234A"/>
    <w:rsid w:val="0016728A"/>
    <w:rsid w:val="001932E5"/>
    <w:rsid w:val="00241620"/>
    <w:rsid w:val="00242EE7"/>
    <w:rsid w:val="002B1F45"/>
    <w:rsid w:val="002F54C3"/>
    <w:rsid w:val="00326F28"/>
    <w:rsid w:val="003A24BD"/>
    <w:rsid w:val="003B79A6"/>
    <w:rsid w:val="003C07C5"/>
    <w:rsid w:val="004066C0"/>
    <w:rsid w:val="00441B2F"/>
    <w:rsid w:val="00473157"/>
    <w:rsid w:val="004A14AD"/>
    <w:rsid w:val="004B2ED0"/>
    <w:rsid w:val="00504CA9"/>
    <w:rsid w:val="005D3DD1"/>
    <w:rsid w:val="006724EF"/>
    <w:rsid w:val="00673B13"/>
    <w:rsid w:val="006A3C30"/>
    <w:rsid w:val="006E4422"/>
    <w:rsid w:val="008F10A6"/>
    <w:rsid w:val="00946086"/>
    <w:rsid w:val="009626C8"/>
    <w:rsid w:val="009F6FC0"/>
    <w:rsid w:val="00A07C6B"/>
    <w:rsid w:val="00A31134"/>
    <w:rsid w:val="00A4528F"/>
    <w:rsid w:val="00A91F57"/>
    <w:rsid w:val="00AA7B22"/>
    <w:rsid w:val="00AD6C84"/>
    <w:rsid w:val="00B1621D"/>
    <w:rsid w:val="00B257D1"/>
    <w:rsid w:val="00B847A9"/>
    <w:rsid w:val="00BE1A86"/>
    <w:rsid w:val="00BE6DAB"/>
    <w:rsid w:val="00C66DE4"/>
    <w:rsid w:val="00C702E3"/>
    <w:rsid w:val="00C92384"/>
    <w:rsid w:val="00D020F0"/>
    <w:rsid w:val="00D43C9C"/>
    <w:rsid w:val="00D67BA8"/>
    <w:rsid w:val="00DB2334"/>
    <w:rsid w:val="00E2411D"/>
    <w:rsid w:val="00E73D02"/>
    <w:rsid w:val="00E90A31"/>
    <w:rsid w:val="00E969B4"/>
    <w:rsid w:val="00EC3817"/>
    <w:rsid w:val="00F96FC4"/>
    <w:rsid w:val="00FB38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>
      <v:textbox inset="5.85pt,.7pt,5.85pt,.7pt"/>
    </o:shapedefaults>
    <o:shapelayout v:ext="edit">
      <o:idmap v:ext="edit" data="1"/>
    </o:shapelayout>
  </w:shapeDefaults>
  <w:decimalSymbol w:val="."/>
  <w:listSeparator w:val=","/>
  <w14:docId w14:val="4AC4F4E4"/>
  <w15:docId w15:val="{FC0B0919-BD3B-4141-B99E-04F9A1A74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9" w:unhideWhenUsed="1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29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iPriority="29" w:unhideWhenUsed="1" w:qFormat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nhideWhenUsed="1"/>
    <w:lsdException w:name="Salutation" w:semiHidden="1" w:unhideWhenUsed="1"/>
    <w:lsdException w:name="Date" w:semiHidden="1" w:uiPriority="2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9"/>
    <w:unhideWhenUsed/>
    <w:qFormat/>
    <w:pPr>
      <w:widowControl w:val="0"/>
      <w:jc w:val="both"/>
    </w:pPr>
    <w:rPr>
      <w:rFonts w:ascii="Calibri" w:eastAsia="宋体" w:hAnsi="Calibri" w:cs="Times New Roman"/>
    </w:rPr>
  </w:style>
  <w:style w:type="paragraph" w:styleId="Heading1">
    <w:name w:val="heading 1"/>
    <w:basedOn w:val="Normal"/>
    <w:next w:val="Normal"/>
    <w:link w:val="Heading1Char"/>
    <w:uiPriority w:val="99"/>
    <w:semiHidden/>
    <w:unhideWhenUsed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宋体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宋体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99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Calibri" w:eastAsia="宋体" w:hAnsi="Calibri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Calibri" w:eastAsia="宋体" w:hAnsi="Calibri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Calibri" w:eastAsia="宋体" w:hAnsi="Calibri" w:cs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Calibri" w:eastAsia="宋体" w:hAnsi="Calibri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Calibri" w:eastAsia="宋体" w:hAnsi="Calibri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Calibri" w:eastAsia="宋体" w:hAnsi="Calibri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Calibri" w:eastAsia="宋体" w:hAnsi="Calibri" w:cs="Times New Roma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Calibri" w:eastAsia="宋体" w:hAnsi="Calibri" w:cs="Times New Roman"/>
      <w:sz w:val="16"/>
      <w:szCs w:val="16"/>
    </w:rPr>
  </w:style>
  <w:style w:type="character" w:styleId="BookTitle">
    <w:name w:val="Book Title"/>
    <w:basedOn w:val="DefaultParagraphFont"/>
    <w:uiPriority w:val="99"/>
    <w:semiHidden/>
    <w:unhideWhenUsed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99"/>
    <w:semiHidden/>
    <w:unhideWhenUsed/>
    <w:pPr>
      <w:spacing w:after="200"/>
    </w:pPr>
    <w:rPr>
      <w:b/>
      <w:bCs/>
      <w:color w:val="4472C4" w:themeColor="accent1"/>
      <w:sz w:val="18"/>
      <w:szCs w:val="18"/>
    </w:rPr>
  </w:style>
  <w:style w:type="paragraph" w:styleId="Closing">
    <w:name w:val="Closing"/>
    <w:basedOn w:val="Normal"/>
    <w:link w:val="ClosingChar"/>
    <w:uiPriority w:val="29"/>
    <w:unhideWhenUsed/>
    <w:qFormat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Calibri" w:eastAsia="宋体" w:hAnsi="Calibri" w:cs="Times New Roman"/>
    </w:rPr>
  </w:style>
  <w:style w:type="table" w:styleId="ColorfulGrid">
    <w:name w:val="Colorful Grid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eastAsia="宋体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alibri" w:eastAsia="宋体" w:hAnsi="Calibri" w:cs="Times New Roman"/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29"/>
    <w:unhideWhenUsed/>
    <w:qFormat/>
  </w:style>
  <w:style w:type="character" w:customStyle="1" w:styleId="DateChar">
    <w:name w:val="Date Char"/>
    <w:basedOn w:val="DefaultParagraphFont"/>
    <w:link w:val="Date"/>
    <w:uiPriority w:val="99"/>
    <w:semiHidden/>
    <w:rPr>
      <w:rFonts w:ascii="Calibri" w:eastAsia="宋体" w:hAnsi="Calibri" w:cs="Times New Roman"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eastAsia="宋体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Calibri" w:eastAsia="宋体" w:hAnsi="Calibri" w:cs="Times New Roman"/>
    </w:rPr>
  </w:style>
  <w:style w:type="character" w:styleId="Emphasis">
    <w:name w:val="Emphasis"/>
    <w:basedOn w:val="DefaultParagraphFont"/>
    <w:uiPriority w:val="99"/>
    <w:semiHidden/>
    <w:unhideWhenUsed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Calibri" w:eastAsia="宋体" w:hAnsi="Calibri" w:cs="Times New Roman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Calibri" w:eastAsia="宋体" w:hAnsi="Calibri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Calibri" w:eastAsia="宋体" w:hAnsi="Calibri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宋体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unhideWhenUsed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Calibri" w:eastAsia="宋体" w:hAnsi="Calibri" w:cs="Times New Roman"/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99"/>
    <w:semiHidden/>
    <w:unhideWhenUsed/>
    <w:rPr>
      <w:b/>
      <w:bCs/>
      <w:smallCaps/>
      <w:color w:val="ED7D31" w:themeColor="accent2"/>
      <w:spacing w:val="5"/>
      <w:u w:val="single"/>
    </w:rPr>
  </w:style>
  <w:style w:type="table" w:styleId="LightGrid">
    <w:name w:val="Light Grid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eastAsia="宋体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eastAsia="宋体" w:hAnsi="Consolas" w:cs="Consolas"/>
      <w:sz w:val="20"/>
      <w:szCs w:val="20"/>
    </w:rPr>
  </w:style>
  <w:style w:type="table" w:styleId="MediumGrid1">
    <w:name w:val="Medium Grid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pPr>
      <w:widowControl w:val="0"/>
      <w:jc w:val="both"/>
    </w:pPr>
    <w:rPr>
      <w:rFonts w:ascii="Calibri" w:eastAsia="宋体" w:hAnsi="Calibri" w:cs="Times New Roman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Calibri" w:eastAsia="宋体" w:hAnsi="Calibri" w:cs="Times New Roman"/>
    </w:rPr>
  </w:style>
  <w:style w:type="character" w:styleId="PageNumber">
    <w:name w:val="page number"/>
    <w:basedOn w:val="DefaultParagraphFont"/>
    <w:uiPriority w:val="29"/>
    <w:unhideWhenUsed/>
    <w:qFormat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宋体" w:hAnsi="Consolas" w:cs="Consolas"/>
      <w:szCs w:val="21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rFonts w:ascii="Calibri" w:eastAsia="宋体" w:hAnsi="Calibri" w:cs="Times New Roman"/>
      <w:i/>
      <w:iCs/>
      <w:color w:val="000000" w:themeColor="text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Calibri" w:eastAsia="宋体" w:hAnsi="Calibri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Calibri" w:eastAsia="宋体" w:hAnsi="Calibri" w:cs="Times New Roman"/>
    </w:rPr>
  </w:style>
  <w:style w:type="character" w:styleId="Strong">
    <w:name w:val="Strong"/>
    <w:basedOn w:val="DefaultParagraphFont"/>
    <w:uiPriority w:val="99"/>
    <w:semiHidden/>
    <w:unhideWhenUsed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semiHidden/>
    <w:unhideWhenUsed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99"/>
    <w:semiHidden/>
    <w:unhideWhenUsed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unhideWhenUsed/>
    <w:rPr>
      <w:smallCaps/>
      <w:color w:val="ED7D31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99"/>
    <w:semiHidden/>
    <w:unhideWhenUsed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9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9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9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9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9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9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99"/>
    <w:semiHidden/>
    <w:unhideWhenUsed/>
    <w:pPr>
      <w:spacing w:after="100"/>
      <w:ind w:left="1680"/>
    </w:pPr>
  </w:style>
  <w:style w:type="paragraph" w:styleId="TOCHeading">
    <w:name w:val="TOC Heading"/>
    <w:basedOn w:val="Heading1"/>
    <w:next w:val="Normal"/>
    <w:uiPriority w:val="99"/>
    <w:semiHidden/>
    <w:unhideWhenUsed/>
    <w:pPr>
      <w:outlineLvl w:val="9"/>
    </w:pPr>
  </w:style>
  <w:style w:type="paragraph" w:customStyle="1" w:styleId="DocsID">
    <w:name w:val="DocsID"/>
    <w:basedOn w:val="Normal"/>
    <w:uiPriority w:val="29"/>
    <w:qFormat/>
    <w:pPr>
      <w:widowControl/>
      <w:spacing w:before="20"/>
      <w:jc w:val="left"/>
    </w:pPr>
    <w:rPr>
      <w:rFonts w:ascii="Arial" w:eastAsia="Times New Roman" w:hAnsi="Arial"/>
      <w:kern w:val="0"/>
      <w:sz w:val="16"/>
      <w:szCs w:val="20"/>
      <w:lang w:val="en-GB" w:eastAsia="en-US"/>
    </w:rPr>
  </w:style>
  <w:style w:type="paragraph" w:customStyle="1" w:styleId="DocId">
    <w:name w:val="DocId"/>
    <w:basedOn w:val="Footer"/>
    <w:link w:val="DocIdChar"/>
    <w:rsid w:val="0016728A"/>
    <w:pPr>
      <w:widowControl/>
      <w:jc w:val="left"/>
    </w:pPr>
    <w:rPr>
      <w:rFonts w:ascii="Arial" w:hAnsi="Arial" w:cs="Arial"/>
      <w:sz w:val="16"/>
    </w:rPr>
  </w:style>
  <w:style w:type="character" w:customStyle="1" w:styleId="DocIdChar">
    <w:name w:val="DocId Char"/>
    <w:basedOn w:val="DefaultParagraphFont"/>
    <w:link w:val="DocId"/>
    <w:rsid w:val="0016728A"/>
    <w:rPr>
      <w:rFonts w:ascii="Arial" w:eastAsia="宋体" w:hAnsi="Arial" w:cs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9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172D6BC4E3547408F46E947D67673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00EE8B-BB9D-4429-810A-0A292D94AD32}"/>
      </w:docPartPr>
      <w:docPartBody>
        <w:p w:rsidR="00D412DD" w:rsidRDefault="00D412DD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Microsoft YaHei UI"/>
    <w:charset w:val="86"/>
    <w:family w:val="modern"/>
    <w:pitch w:val="fixed"/>
    <w:sig w:usb0="00000000" w:usb1="38CF7CFA" w:usb2="00000016" w:usb3="00000000" w:csb0="00040001" w:csb1="00000000"/>
  </w:font>
  <w:font w:name="方正仿宋_GBK">
    <w:altName w:val="Microsoft YaHei UI"/>
    <w:charset w:val="86"/>
    <w:family w:val="script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A9"/>
    <w:rsid w:val="00D412DD"/>
    <w:rsid w:val="00FB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FB74A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507242FC-D388-4039-B8C4-B57BED0743F9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FC415848-8A56-456C-8863-FDEA8CD248D2}">
  <ds:schemaRefs>
    <ds:schemaRef ds:uri="http://www.w3.org/2001/XMLSchema"/>
    <ds:schemaRef ds:uri="http://iphelion.com/word/outlin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Norton Rose Fulbright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SPL</cp:lastModifiedBy>
  <cp:revision>5</cp:revision>
  <dcterms:created xsi:type="dcterms:W3CDTF">2024-05-20T05:45:00Z</dcterms:created>
  <dcterms:modified xsi:type="dcterms:W3CDTF">2024-05-20T06:35:00Z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D-SETTINGS">
    <vt:lpwstr>0</vt:lpwstr>
  </property>
  <property fmtid="{D5CDD505-2E9C-101B-9397-08002B2CF9AE}" pid="3" name="WordLXNoDocIdAutoUpdate">
    <vt:lpwstr>False</vt:lpwstr>
  </property>
</Properties>
</file>