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6"/>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pPr>
              <w:pStyle w:val="3"/>
              <w:adjustRightInd w:val="0"/>
              <w:snapToGrid w:val="0"/>
              <w:spacing w:after="0" w:line="240" w:lineRule="auto"/>
              <w:rPr>
                <w:rFonts w:ascii="宋体" w:hAnsi="宋体" w:cs="宋体"/>
                <w:bCs/>
                <w:color w:val="000000"/>
                <w:sz w:val="24"/>
                <w:szCs w:val="24"/>
              </w:rPr>
            </w:pPr>
            <w:r>
              <w:rPr>
                <w:rFonts w:hint="eastAsia" w:ascii="宋体" w:hAnsi="宋体" w:cs="宋体"/>
                <w:bCs/>
                <w:color w:val="000000"/>
                <w:sz w:val="24"/>
                <w:szCs w:val="24"/>
                <w:lang w:val="en-GB"/>
              </w:rPr>
              <w:t>案件名称</w:t>
            </w:r>
          </w:p>
        </w:tc>
        <w:tc>
          <w:tcPr>
            <w:tcW w:w="7700" w:type="dxa"/>
            <w:gridSpan w:val="2"/>
            <w:vAlign w:val="center"/>
          </w:tcPr>
          <w:p>
            <w:pPr>
              <w:adjustRightInd w:val="0"/>
              <w:snapToGrid w:val="0"/>
            </w:pPr>
            <w:bookmarkStart w:id="0" w:name="_Hlk162162525"/>
            <w:bookmarkStart w:id="1" w:name="_Hlk162161868"/>
            <w:r>
              <w:rPr>
                <w:rFonts w:hint="eastAsia" w:ascii="宋体" w:hAnsi="宋体"/>
                <w:sz w:val="24"/>
              </w:rPr>
              <w:t>南京国轩控股集团有限公司</w:t>
            </w:r>
            <w:bookmarkEnd w:id="0"/>
            <w:r>
              <w:rPr>
                <w:rFonts w:hint="eastAsia" w:ascii="宋体" w:hAnsi="宋体"/>
                <w:sz w:val="24"/>
              </w:rPr>
              <w:t>与浙江远程智能交通技术有限公司等经营者新设合营企业</w:t>
            </w:r>
            <w:bookmarkEnd w:id="1"/>
            <w:r>
              <w:rPr>
                <w:rFonts w:hint="eastAsia" w:ascii="宋体" w:hAnsi="宋体"/>
                <w:sz w:val="24"/>
              </w:rPr>
              <w:t>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t>交易概况（限200字内）</w:t>
            </w:r>
          </w:p>
        </w:tc>
        <w:tc>
          <w:tcPr>
            <w:tcW w:w="7700" w:type="dxa"/>
            <w:gridSpan w:val="2"/>
            <w:vAlign w:val="center"/>
          </w:tcPr>
          <w:p>
            <w:pPr>
              <w:adjustRightInd w:val="0"/>
              <w:snapToGrid w:val="0"/>
              <w:rPr>
                <w:rFonts w:ascii="宋体" w:hAnsi="宋体" w:cs="宋体"/>
                <w:kern w:val="0"/>
                <w:sz w:val="24"/>
              </w:rPr>
            </w:pPr>
            <w:r>
              <w:rPr>
                <w:rFonts w:hint="eastAsia" w:ascii="宋体" w:hAnsi="宋体" w:cs="宋体"/>
                <w:kern w:val="0"/>
                <w:sz w:val="24"/>
              </w:rPr>
              <w:t>南京国轩控股集团有限公司（“南京国轩”）、浙江远程智能交通技术有限公司（“浙江远程”）和安徽巡鹰动力能源科技有限公司（“巡鹰动力”）拟共同设立一家合营企业。合营企业拟主要从事锂离子动力电池租赁服务，服务对象是车电分离车型的终端消费者。</w:t>
            </w:r>
          </w:p>
          <w:p>
            <w:pPr>
              <w:adjustRightInd w:val="0"/>
              <w:snapToGrid w:val="0"/>
              <w:rPr>
                <w:rFonts w:ascii="宋体" w:hAnsi="宋体" w:cs="宋体"/>
                <w:kern w:val="0"/>
                <w:sz w:val="24"/>
              </w:rPr>
            </w:pPr>
            <w:r>
              <w:rPr>
                <w:rFonts w:hint="eastAsia" w:ascii="宋体" w:hAnsi="宋体" w:cs="宋体"/>
                <w:kern w:val="0"/>
                <w:sz w:val="24"/>
              </w:rPr>
              <w:t>交易后，南京国轩、浙江远程和巡鹰动力分别持有合营企业35%、35%和30%股权，共同控制合营企业。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t>参与集中的经营者简介（每个限</w:t>
            </w:r>
            <w:r>
              <w:rPr>
                <w:rFonts w:hint="eastAsia" w:ascii="宋体" w:hAnsi="宋体" w:cs="宋体"/>
                <w:bCs/>
                <w:color w:val="000000"/>
                <w:sz w:val="24"/>
                <w:szCs w:val="24"/>
                <w:lang w:eastAsia="zh-CN"/>
              </w:rPr>
              <w:t>100字以内</w:t>
            </w:r>
            <w:r>
              <w:rPr>
                <w:rFonts w:hint="eastAsia" w:ascii="宋体" w:hAnsi="宋体" w:cs="宋体"/>
                <w:bCs/>
                <w:color w:val="000000"/>
                <w:sz w:val="24"/>
                <w:szCs w:val="24"/>
                <w:lang w:val="en-GB" w:eastAsia="zh-CN"/>
              </w:rPr>
              <w:t>）</w:t>
            </w:r>
          </w:p>
        </w:tc>
        <w:tc>
          <w:tcPr>
            <w:tcW w:w="1607" w:type="dxa"/>
            <w:vAlign w:val="center"/>
          </w:tcPr>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eastAsia="zh-CN"/>
              </w:rPr>
              <w:t>1.南京国轩</w:t>
            </w:r>
          </w:p>
        </w:tc>
        <w:tc>
          <w:tcPr>
            <w:tcW w:w="6093" w:type="dxa"/>
            <w:vAlign w:val="center"/>
          </w:tcPr>
          <w:p>
            <w:pPr>
              <w:pStyle w:val="2"/>
              <w:spacing w:after="0"/>
              <w:ind w:firstLine="0" w:firstLineChars="0"/>
              <w:rPr>
                <w:rFonts w:ascii="宋体" w:hAnsi="宋体" w:cs="宋体"/>
                <w:bCs/>
                <w:color w:val="000000"/>
                <w:kern w:val="2"/>
                <w:sz w:val="24"/>
                <w:szCs w:val="24"/>
                <w:lang w:eastAsia="zh-CN" w:bidi="ar-AE"/>
              </w:rPr>
            </w:pPr>
            <w:r>
              <w:rPr>
                <w:rFonts w:hint="eastAsia" w:ascii="宋体" w:hAnsi="宋体" w:cs="宋体"/>
                <w:bCs/>
                <w:color w:val="000000"/>
                <w:kern w:val="2"/>
                <w:sz w:val="24"/>
                <w:szCs w:val="24"/>
                <w:lang w:eastAsia="zh-CN" w:bidi="ar-AE"/>
              </w:rPr>
              <w:t>南京国轩于2005年4月15日成立于中国广东省，后注册地变更为中国江苏省，主要业务为股权投资、地产、新能源、工业制造等，其旗下上市公司国轩高科主要从事锂离子动力电池和输配电设备业务。</w:t>
            </w:r>
          </w:p>
          <w:p>
            <w:pPr>
              <w:pStyle w:val="2"/>
              <w:spacing w:after="0"/>
              <w:ind w:firstLine="0" w:firstLineChars="0"/>
              <w:rPr>
                <w:rFonts w:ascii="宋体" w:hAnsi="宋体" w:cs="宋体"/>
                <w:bCs/>
                <w:color w:val="000000"/>
                <w:kern w:val="2"/>
                <w:sz w:val="24"/>
                <w:szCs w:val="24"/>
                <w:lang w:eastAsia="zh-CN" w:bidi="ar-AE"/>
              </w:rPr>
            </w:pPr>
            <w:r>
              <w:rPr>
                <w:rFonts w:hint="eastAsia" w:ascii="宋体" w:hAnsi="宋体" w:cs="宋体"/>
                <w:bCs/>
                <w:color w:val="000000"/>
                <w:kern w:val="2"/>
                <w:sz w:val="24"/>
                <w:szCs w:val="24"/>
                <w:lang w:eastAsia="zh-CN" w:bidi="ar-AE"/>
              </w:rPr>
              <w:t>南京国轩最终控制人为自然人，主要业务为锂离子动力电池、新能源等行业的投资。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p>
        </w:tc>
        <w:tc>
          <w:tcPr>
            <w:tcW w:w="1607" w:type="dxa"/>
            <w:vAlign w:val="center"/>
          </w:tcPr>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eastAsia="zh-CN"/>
              </w:rPr>
              <w:t>2.</w:t>
            </w:r>
            <w:r>
              <w:rPr>
                <w:rFonts w:hint="eastAsia" w:ascii="宋体" w:hAnsi="宋体" w:cs="宋体"/>
                <w:bCs/>
                <w:color w:val="000000"/>
                <w:sz w:val="24"/>
                <w:szCs w:val="24"/>
                <w:lang w:val="en-GB" w:eastAsia="zh-CN"/>
              </w:rPr>
              <w:t>浙江远程</w:t>
            </w:r>
          </w:p>
        </w:tc>
        <w:tc>
          <w:tcPr>
            <w:tcW w:w="6093" w:type="dxa"/>
            <w:vAlign w:val="center"/>
          </w:tcPr>
          <w:p>
            <w:pPr>
              <w:pStyle w:val="2"/>
              <w:spacing w:after="0"/>
              <w:ind w:firstLine="0" w:firstLineChars="0"/>
              <w:rPr>
                <w:rFonts w:ascii="宋体" w:hAnsi="宋体" w:cs="宋体"/>
                <w:bCs/>
                <w:color w:val="000000"/>
                <w:kern w:val="2"/>
                <w:sz w:val="24"/>
                <w:szCs w:val="24"/>
                <w:lang w:eastAsia="zh-CN" w:bidi="ar-AE"/>
              </w:rPr>
            </w:pPr>
            <w:r>
              <w:rPr>
                <w:rFonts w:hint="eastAsia" w:ascii="宋体" w:hAnsi="宋体" w:cs="宋体"/>
                <w:bCs/>
                <w:color w:val="000000"/>
                <w:kern w:val="2"/>
                <w:sz w:val="24"/>
                <w:szCs w:val="24"/>
                <w:lang w:eastAsia="zh-CN" w:bidi="ar-AE"/>
              </w:rPr>
              <w:t>浙江远程于2022年5月17日成立于中国浙江省，主要业务为股权投资，其唯一股东浙江吉利远程新能源商用车集团有限公司是吉利集团旗下的纯电动商用车平台，主要从事纯电动商用车业务。</w:t>
            </w:r>
          </w:p>
          <w:p>
            <w:pPr>
              <w:pStyle w:val="2"/>
              <w:spacing w:after="0"/>
              <w:ind w:firstLine="0" w:firstLineChars="0"/>
              <w:rPr>
                <w:rFonts w:ascii="宋体" w:hAnsi="宋体" w:cs="宋体"/>
                <w:bCs/>
                <w:color w:val="000000"/>
                <w:kern w:val="2"/>
                <w:sz w:val="24"/>
                <w:szCs w:val="24"/>
                <w:lang w:eastAsia="zh-CN" w:bidi="ar-AE"/>
              </w:rPr>
            </w:pPr>
            <w:r>
              <w:rPr>
                <w:rFonts w:hint="eastAsia" w:ascii="宋体" w:hAnsi="宋体" w:cs="宋体"/>
                <w:bCs/>
                <w:color w:val="000000"/>
                <w:kern w:val="2"/>
                <w:sz w:val="24"/>
                <w:szCs w:val="24"/>
                <w:lang w:eastAsia="zh-CN" w:bidi="ar-AE"/>
              </w:rPr>
              <w:t>浙江远程最终控制人为自然人，主要业务为汽车行业的投资。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p>
        </w:tc>
        <w:tc>
          <w:tcPr>
            <w:tcW w:w="1607" w:type="dxa"/>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eastAsia="zh-CN"/>
              </w:rPr>
              <w:t>3.</w:t>
            </w:r>
            <w:r>
              <w:rPr>
                <w:rFonts w:hint="eastAsia" w:ascii="宋体" w:hAnsi="宋体" w:cs="宋体"/>
                <w:bCs/>
                <w:color w:val="000000"/>
                <w:sz w:val="24"/>
                <w:szCs w:val="24"/>
                <w:lang w:val="en-GB" w:eastAsia="zh-CN"/>
              </w:rPr>
              <w:t>巡鹰动力</w:t>
            </w:r>
          </w:p>
        </w:tc>
        <w:tc>
          <w:tcPr>
            <w:tcW w:w="6093" w:type="dxa"/>
            <w:vAlign w:val="center"/>
          </w:tcPr>
          <w:p>
            <w:pPr>
              <w:pStyle w:val="2"/>
              <w:spacing w:after="0"/>
              <w:ind w:firstLine="0" w:firstLineChars="0"/>
              <w:rPr>
                <w:rFonts w:ascii="宋体" w:hAnsi="宋体" w:cs="宋体"/>
                <w:bCs/>
                <w:color w:val="000000"/>
                <w:kern w:val="2"/>
                <w:sz w:val="24"/>
                <w:szCs w:val="24"/>
                <w:lang w:eastAsia="zh-CN" w:bidi="ar-AE"/>
              </w:rPr>
            </w:pPr>
            <w:r>
              <w:rPr>
                <w:rFonts w:hint="eastAsia" w:ascii="宋体" w:hAnsi="宋体" w:cs="宋体"/>
                <w:bCs/>
                <w:color w:val="000000"/>
                <w:kern w:val="2"/>
                <w:sz w:val="24"/>
                <w:szCs w:val="24"/>
                <w:lang w:eastAsia="zh-CN" w:bidi="ar-AE"/>
              </w:rPr>
              <w:t>巡鹰动力于2019年7月3日成立于中国安徽省，主要业务为锂离子电池及其材料、废旧电池回收、再生利用与销售。</w:t>
            </w:r>
          </w:p>
          <w:p>
            <w:pPr>
              <w:pStyle w:val="2"/>
              <w:spacing w:after="0"/>
              <w:ind w:firstLine="0" w:firstLineChars="0"/>
              <w:rPr>
                <w:rFonts w:ascii="宋体" w:hAnsi="宋体" w:cs="宋体"/>
                <w:bCs/>
                <w:color w:val="000000"/>
                <w:kern w:val="2"/>
                <w:sz w:val="24"/>
                <w:szCs w:val="24"/>
                <w:lang w:eastAsia="zh-CN" w:bidi="ar-AE"/>
              </w:rPr>
            </w:pPr>
            <w:r>
              <w:rPr>
                <w:rFonts w:hint="eastAsia" w:ascii="宋体" w:hAnsi="宋体" w:cs="宋体"/>
                <w:bCs/>
                <w:color w:val="000000"/>
                <w:kern w:val="2"/>
                <w:sz w:val="24"/>
                <w:szCs w:val="24"/>
                <w:lang w:eastAsia="zh-CN" w:bidi="ar-AE"/>
              </w:rPr>
              <w:t>巡鹰动力的最终控制人为自然人，主要业务为电池回收、新能源等行业的投资。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t>简易案件理由（可以单选，也可以多选）</w:t>
            </w:r>
          </w:p>
        </w:tc>
        <w:tc>
          <w:tcPr>
            <w:tcW w:w="7700" w:type="dxa"/>
            <w:gridSpan w:val="2"/>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1、在同一相关市场，所有参与集中的经营者所占市场份额之和小于</w:t>
            </w:r>
            <w:r>
              <w:rPr>
                <w:rFonts w:hint="eastAsia" w:ascii="宋体" w:hAnsi="宋体" w:cs="宋体"/>
                <w:bCs/>
                <w:color w:val="000000"/>
                <w:sz w:val="24"/>
                <w:szCs w:val="24"/>
                <w:lang w:eastAsia="zh-CN"/>
              </w:rPr>
              <w:t>15%</w:t>
            </w:r>
            <w:r>
              <w:rPr>
                <w:rFonts w:hint="eastAsia" w:ascii="宋体" w:hAnsi="宋体" w:cs="宋体"/>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FE"/>
            </w:r>
            <w:r>
              <w:rPr>
                <w:rFonts w:hint="eastAsia" w:ascii="宋体" w:hAnsi="宋体" w:cs="宋体"/>
                <w:bCs/>
                <w:color w:val="000000"/>
                <w:sz w:val="24"/>
                <w:szCs w:val="24"/>
                <w:lang w:val="en-GB" w:eastAsia="zh-CN"/>
              </w:rPr>
              <w:t xml:space="preserve"> 2、存在上下游关系的参与集中的经营者，在上下游市场所占的市场份额均小于</w:t>
            </w:r>
            <w:r>
              <w:rPr>
                <w:rFonts w:hint="eastAsia" w:ascii="宋体" w:hAnsi="宋体" w:cs="宋体"/>
                <w:bCs/>
                <w:color w:val="000000"/>
                <w:sz w:val="24"/>
                <w:szCs w:val="24"/>
                <w:lang w:eastAsia="zh-CN"/>
              </w:rPr>
              <w:t>25%</w:t>
            </w:r>
            <w:r>
              <w:rPr>
                <w:rFonts w:hint="eastAsia" w:ascii="宋体" w:hAnsi="宋体" w:cs="宋体"/>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eastAsia="zh-CN"/>
              </w:rPr>
              <w:t>备注</w:t>
            </w:r>
          </w:p>
        </w:tc>
        <w:tc>
          <w:tcPr>
            <w:tcW w:w="7700" w:type="dxa"/>
            <w:gridSpan w:val="2"/>
            <w:vAlign w:val="center"/>
          </w:tcPr>
          <w:p>
            <w:pPr>
              <w:pStyle w:val="3"/>
              <w:adjustRightInd w:val="0"/>
              <w:snapToGrid w:val="0"/>
              <w:spacing w:after="0" w:line="240" w:lineRule="auto"/>
              <w:rPr>
                <w:rFonts w:ascii="宋体" w:hAnsi="宋体" w:cs="宋体"/>
                <w:b/>
                <w:color w:val="000000"/>
                <w:sz w:val="24"/>
                <w:szCs w:val="24"/>
                <w:lang w:val="en-GB" w:eastAsia="zh-CN"/>
              </w:rPr>
            </w:pPr>
            <w:r>
              <w:rPr>
                <w:rFonts w:hint="eastAsia" w:ascii="宋体" w:hAnsi="宋体" w:cs="宋体"/>
                <w:b/>
                <w:color w:val="000000"/>
                <w:sz w:val="24"/>
                <w:szCs w:val="24"/>
                <w:lang w:val="en-GB" w:eastAsia="zh-CN"/>
              </w:rPr>
              <w:t>纵向关联：</w:t>
            </w:r>
          </w:p>
          <w:p>
            <w:pPr>
              <w:pStyle w:val="3"/>
              <w:adjustRightInd w:val="0"/>
              <w:snapToGrid w:val="0"/>
              <w:spacing w:after="0" w:line="240" w:lineRule="auto"/>
              <w:rPr>
                <w:rFonts w:ascii="宋体" w:hAnsi="宋体" w:cs="宋体"/>
                <w:b/>
                <w:color w:val="000000"/>
                <w:sz w:val="24"/>
                <w:szCs w:val="24"/>
                <w:lang w:val="en-GB" w:eastAsia="zh-CN"/>
              </w:rPr>
            </w:pPr>
            <w:r>
              <w:rPr>
                <w:rFonts w:hint="eastAsia" w:ascii="宋体" w:hAnsi="宋体" w:cs="宋体"/>
                <w:b/>
                <w:color w:val="000000"/>
                <w:sz w:val="24"/>
                <w:szCs w:val="24"/>
                <w:lang w:val="en-GB" w:eastAsia="zh-CN"/>
              </w:rPr>
              <w:t>第一组</w:t>
            </w:r>
          </w:p>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val="en-GB" w:eastAsia="zh-CN"/>
              </w:rPr>
              <w:t>上游：</w:t>
            </w:r>
            <w:bookmarkStart w:id="2" w:name="_Hlk168575956"/>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t>2023年中国境内电动汽车用锂离子动力电池</w:t>
            </w:r>
            <w:r>
              <w:rPr>
                <w:rFonts w:hint="eastAsia" w:ascii="宋体" w:hAnsi="宋体" w:cs="宋体"/>
                <w:bCs/>
                <w:color w:val="000000"/>
                <w:sz w:val="24"/>
                <w:szCs w:val="24"/>
                <w:lang w:eastAsia="zh-CN"/>
              </w:rPr>
              <w:t>市场</w:t>
            </w:r>
            <w:bookmarkEnd w:id="2"/>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eastAsia="zh-CN"/>
              </w:rPr>
              <w:t>南京国轩: 0-5%。</w:t>
            </w:r>
          </w:p>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eastAsia="zh-CN"/>
              </w:rPr>
              <w:t>下游：</w:t>
            </w:r>
          </w:p>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val="en-GB" w:eastAsia="zh-CN"/>
              </w:rPr>
              <w:t>2023年中国境内纯电动商用车市场</w:t>
            </w:r>
            <w:r>
              <w:rPr>
                <w:rFonts w:ascii="宋体" w:hAnsi="宋体" w:cs="宋体"/>
                <w:bCs/>
                <w:color w:val="000000"/>
                <w:sz w:val="24"/>
                <w:szCs w:val="24"/>
                <w:lang w:val="en-GB" w:eastAsia="zh-CN"/>
              </w:rPr>
              <w:t xml:space="preserve"> </w:t>
            </w:r>
          </w:p>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val="en-GB" w:eastAsia="zh-CN"/>
              </w:rPr>
              <w:t>浙江远程：15%-20%。</w:t>
            </w:r>
          </w:p>
          <w:p>
            <w:pPr>
              <w:pStyle w:val="3"/>
              <w:adjustRightInd w:val="0"/>
              <w:snapToGrid w:val="0"/>
              <w:spacing w:after="0" w:line="240" w:lineRule="auto"/>
              <w:rPr>
                <w:rFonts w:ascii="宋体" w:hAnsi="宋体" w:cs="宋体"/>
                <w:b/>
                <w:color w:val="000000"/>
                <w:sz w:val="24"/>
                <w:szCs w:val="24"/>
                <w:lang w:val="en-GB" w:eastAsia="zh-CN"/>
              </w:rPr>
            </w:pPr>
            <w:r>
              <w:rPr>
                <w:rFonts w:hint="eastAsia" w:ascii="宋体" w:hAnsi="宋体" w:cs="宋体"/>
                <w:b/>
                <w:color w:val="000000"/>
                <w:sz w:val="24"/>
                <w:szCs w:val="24"/>
                <w:lang w:val="en-GB" w:eastAsia="zh-CN"/>
              </w:rPr>
              <w:t>第二组</w:t>
            </w:r>
            <w:bookmarkStart w:id="3" w:name="_GoBack"/>
            <w:bookmarkEnd w:id="3"/>
          </w:p>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val="en-GB" w:eastAsia="zh-CN"/>
              </w:rPr>
              <w:t>上游：</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t>2023年中国境内电动汽车用锂离子动力电池</w:t>
            </w:r>
            <w:r>
              <w:rPr>
                <w:rFonts w:hint="eastAsia" w:ascii="宋体" w:hAnsi="宋体" w:cs="宋体"/>
                <w:bCs/>
                <w:color w:val="000000"/>
                <w:sz w:val="24"/>
                <w:szCs w:val="24"/>
                <w:lang w:eastAsia="zh-CN"/>
              </w:rPr>
              <w:t>市场</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eastAsia="zh-CN"/>
              </w:rPr>
              <w:t>南京国轩: 0-5%。</w:t>
            </w:r>
          </w:p>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val="en-GB" w:eastAsia="zh-CN"/>
              </w:rPr>
              <w:t>下游：</w:t>
            </w:r>
          </w:p>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val="en-GB" w:eastAsia="zh-CN"/>
              </w:rPr>
              <w:t>2023年中国境内废旧锂离子动力电池梯次利用市场</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t>巡鹰动力：10%—15%</w:t>
            </w:r>
            <w:r>
              <w:rPr>
                <w:rFonts w:hint="eastAsia" w:ascii="宋体" w:hAnsi="宋体" w:cs="宋体"/>
                <w:bCs/>
                <w:color w:val="000000"/>
                <w:sz w:val="24"/>
                <w:szCs w:val="24"/>
                <w:lang w:eastAsia="zh-CN"/>
              </w:rPr>
              <w:t>。</w:t>
            </w:r>
          </w:p>
          <w:p>
            <w:pPr>
              <w:pStyle w:val="3"/>
              <w:adjustRightInd w:val="0"/>
              <w:snapToGrid w:val="0"/>
              <w:spacing w:after="0" w:line="240" w:lineRule="auto"/>
              <w:rPr>
                <w:rFonts w:ascii="宋体" w:hAnsi="宋体" w:cs="宋体"/>
                <w:b/>
                <w:color w:val="000000"/>
                <w:sz w:val="24"/>
                <w:szCs w:val="24"/>
                <w:lang w:eastAsia="zh-CN"/>
              </w:rPr>
            </w:pPr>
            <w:r>
              <w:rPr>
                <w:rFonts w:hint="eastAsia" w:ascii="宋体" w:hAnsi="宋体" w:cs="宋体"/>
                <w:b/>
                <w:color w:val="000000"/>
                <w:sz w:val="24"/>
                <w:szCs w:val="24"/>
                <w:lang w:eastAsia="zh-CN"/>
              </w:rPr>
              <w:t>第三组</w:t>
            </w:r>
          </w:p>
          <w:p>
            <w:pPr>
              <w:pStyle w:val="3"/>
              <w:adjustRightInd w:val="0"/>
              <w:snapToGrid w:val="0"/>
              <w:spacing w:after="0" w:line="240" w:lineRule="auto"/>
              <w:rPr>
                <w:rFonts w:ascii="宋体" w:hAnsi="宋体" w:cs="宋体"/>
                <w:bCs/>
                <w:color w:val="000000"/>
                <w:sz w:val="24"/>
                <w:szCs w:val="24"/>
                <w:lang w:val="en-GB" w:eastAsia="zh-CN"/>
              </w:rPr>
            </w:pPr>
            <w:r>
              <w:rPr>
                <w:rFonts w:hint="eastAsia" w:ascii="宋体" w:hAnsi="宋体" w:cs="宋体"/>
                <w:bCs/>
                <w:color w:val="000000"/>
                <w:sz w:val="24"/>
                <w:szCs w:val="24"/>
                <w:lang w:val="en-GB" w:eastAsia="zh-CN"/>
              </w:rPr>
              <w:t>上游：</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t>2023年中国境内电动汽车用锂离子动力电池</w:t>
            </w:r>
            <w:r>
              <w:rPr>
                <w:rFonts w:hint="eastAsia" w:ascii="宋体" w:hAnsi="宋体" w:cs="宋体"/>
                <w:bCs/>
                <w:color w:val="000000"/>
                <w:sz w:val="24"/>
                <w:szCs w:val="24"/>
                <w:lang w:eastAsia="zh-CN"/>
              </w:rPr>
              <w:t>市场</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eastAsia="zh-CN"/>
              </w:rPr>
              <w:t>南京国轩: 0-5%。</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eastAsia="zh-CN"/>
              </w:rPr>
              <w:t>下游：</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eastAsia="zh-CN"/>
              </w:rPr>
              <w:t>2023年中国境内锂离子动力电池拆解回收市场</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val="en-GB" w:eastAsia="zh-CN"/>
              </w:rPr>
              <w:t>巡鹰动力：0—5%，</w:t>
            </w:r>
            <w:r>
              <w:rPr>
                <w:rFonts w:hint="eastAsia" w:ascii="宋体" w:hAnsi="宋体" w:cs="宋体"/>
                <w:bCs/>
                <w:color w:val="000000"/>
                <w:sz w:val="24"/>
                <w:szCs w:val="24"/>
                <w:lang w:eastAsia="zh-CN"/>
              </w:rPr>
              <w:t>南京国轩: 0-5%，各方合计：0%-5%。</w:t>
            </w:r>
          </w:p>
        </w:tc>
      </w:tr>
    </w:tbl>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G Times">
    <w:altName w:val="CESI楷体-GB2312"/>
    <w:panose1 w:val="00000000000000000000"/>
    <w:charset w:val="00"/>
    <w:family w:val="roman"/>
    <w:pitch w:val="default"/>
    <w:sig w:usb0="00000000" w:usb1="00000000" w:usb2="00000000" w:usb3="00000000" w:csb0="00040001"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CESI楷体-GB2312">
    <w:panose1 w:val="02000500000000000000"/>
    <w:charset w:val="86"/>
    <w:family w:val="auto"/>
    <w:pitch w:val="default"/>
    <w:sig w:usb0="800002BF" w:usb1="184F6CF8" w:usb2="00000012"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17704F92"/>
    <w:rsid w:val="00020728"/>
    <w:rsid w:val="00025FE0"/>
    <w:rsid w:val="00033ECE"/>
    <w:rsid w:val="00040B24"/>
    <w:rsid w:val="00042C24"/>
    <w:rsid w:val="00085B80"/>
    <w:rsid w:val="00087BFB"/>
    <w:rsid w:val="00090A32"/>
    <w:rsid w:val="000B6C76"/>
    <w:rsid w:val="000D1B6E"/>
    <w:rsid w:val="00184F2D"/>
    <w:rsid w:val="001D79D8"/>
    <w:rsid w:val="001E4184"/>
    <w:rsid w:val="001E6EDA"/>
    <w:rsid w:val="00212D63"/>
    <w:rsid w:val="00224C9F"/>
    <w:rsid w:val="00293E65"/>
    <w:rsid w:val="002A5645"/>
    <w:rsid w:val="002C6F60"/>
    <w:rsid w:val="00323C65"/>
    <w:rsid w:val="00330775"/>
    <w:rsid w:val="00336024"/>
    <w:rsid w:val="003627CF"/>
    <w:rsid w:val="00391758"/>
    <w:rsid w:val="003A0618"/>
    <w:rsid w:val="003C5607"/>
    <w:rsid w:val="004052EC"/>
    <w:rsid w:val="00416F38"/>
    <w:rsid w:val="00444D98"/>
    <w:rsid w:val="00462C9F"/>
    <w:rsid w:val="00487483"/>
    <w:rsid w:val="004912C2"/>
    <w:rsid w:val="00496E28"/>
    <w:rsid w:val="004A3D50"/>
    <w:rsid w:val="004A5B90"/>
    <w:rsid w:val="004B1F26"/>
    <w:rsid w:val="004E14EF"/>
    <w:rsid w:val="005545CB"/>
    <w:rsid w:val="0060534D"/>
    <w:rsid w:val="00653A85"/>
    <w:rsid w:val="006F2D1F"/>
    <w:rsid w:val="007233E5"/>
    <w:rsid w:val="008265C0"/>
    <w:rsid w:val="008620E5"/>
    <w:rsid w:val="008B71CA"/>
    <w:rsid w:val="008C1EE9"/>
    <w:rsid w:val="008C5931"/>
    <w:rsid w:val="008D1B49"/>
    <w:rsid w:val="008D652C"/>
    <w:rsid w:val="008F77C5"/>
    <w:rsid w:val="00913C3D"/>
    <w:rsid w:val="009D28A3"/>
    <w:rsid w:val="00A633F8"/>
    <w:rsid w:val="00A7576E"/>
    <w:rsid w:val="00A76F3E"/>
    <w:rsid w:val="00B004C0"/>
    <w:rsid w:val="00B2426F"/>
    <w:rsid w:val="00B44098"/>
    <w:rsid w:val="00B45F11"/>
    <w:rsid w:val="00B500D4"/>
    <w:rsid w:val="00BC6FFA"/>
    <w:rsid w:val="00C03B85"/>
    <w:rsid w:val="00C04C5D"/>
    <w:rsid w:val="00C264D6"/>
    <w:rsid w:val="00C54924"/>
    <w:rsid w:val="00C80A3B"/>
    <w:rsid w:val="00C84FCB"/>
    <w:rsid w:val="00CA1BA6"/>
    <w:rsid w:val="00CA7046"/>
    <w:rsid w:val="00CB7A2D"/>
    <w:rsid w:val="00CD435D"/>
    <w:rsid w:val="00D0534E"/>
    <w:rsid w:val="00D2194D"/>
    <w:rsid w:val="00D239E7"/>
    <w:rsid w:val="00D319AA"/>
    <w:rsid w:val="00D515C9"/>
    <w:rsid w:val="00E53ECC"/>
    <w:rsid w:val="00E714B6"/>
    <w:rsid w:val="00EB5842"/>
    <w:rsid w:val="00EB74A6"/>
    <w:rsid w:val="00EC0C07"/>
    <w:rsid w:val="00EE0C12"/>
    <w:rsid w:val="00EF0D04"/>
    <w:rsid w:val="00F24789"/>
    <w:rsid w:val="00F41090"/>
    <w:rsid w:val="00F640DE"/>
    <w:rsid w:val="00F67BDE"/>
    <w:rsid w:val="00F72F31"/>
    <w:rsid w:val="00FA3BDF"/>
    <w:rsid w:val="00FB1544"/>
    <w:rsid w:val="00FB22EB"/>
    <w:rsid w:val="00FB61FB"/>
    <w:rsid w:val="00FC0CAD"/>
    <w:rsid w:val="00FC286A"/>
    <w:rsid w:val="00FC5E5B"/>
    <w:rsid w:val="00FD7DB2"/>
    <w:rsid w:val="00FF5440"/>
    <w:rsid w:val="00FF5F91"/>
    <w:rsid w:val="17704F92"/>
    <w:rsid w:val="79277D2B"/>
    <w:rsid w:val="7FADB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qFormat/>
    <w:uiPriority w:val="0"/>
    <w:pPr>
      <w:widowControl/>
      <w:spacing w:after="240" w:line="288" w:lineRule="auto"/>
    </w:pPr>
    <w:rPr>
      <w:rFonts w:ascii="CG Times" w:hAnsi="CG Times"/>
      <w:kern w:val="0"/>
      <w:sz w:val="22"/>
      <w:szCs w:val="20"/>
      <w:lang w:eastAsia="en-US"/>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tabs>
        <w:tab w:val="center" w:pos="4153"/>
        <w:tab w:val="right" w:pos="8306"/>
      </w:tabs>
      <w:snapToGrid w:val="0"/>
      <w:jc w:val="center"/>
    </w:pPr>
    <w:rPr>
      <w:sz w:val="18"/>
      <w:szCs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9">
    <w:name w:val="页眉 字符"/>
    <w:basedOn w:val="8"/>
    <w:link w:val="5"/>
    <w:qFormat/>
    <w:uiPriority w:val="0"/>
    <w:rPr>
      <w:rFonts w:ascii="Times New Roman" w:hAnsi="Times New Roman"/>
      <w:kern w:val="2"/>
      <w:sz w:val="18"/>
      <w:szCs w:val="18"/>
    </w:rPr>
  </w:style>
  <w:style w:type="character" w:customStyle="1" w:styleId="10">
    <w:name w:val="页脚 字符"/>
    <w:basedOn w:val="8"/>
    <w:link w:val="4"/>
    <w:qFormat/>
    <w:uiPriority w:val="0"/>
    <w:rPr>
      <w:rFonts w:ascii="Times New Roman" w:hAnsi="Times New Roman"/>
      <w:kern w:val="2"/>
      <w:sz w:val="18"/>
      <w:szCs w:val="18"/>
    </w:rPr>
  </w:style>
  <w:style w:type="paragraph" w:customStyle="1" w:styleId="11">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179</Words>
  <Characters>1025</Characters>
  <Lines>8</Lines>
  <Paragraphs>2</Paragraphs>
  <TotalTime>144</TotalTime>
  <ScaleCrop>false</ScaleCrop>
  <LinksUpToDate>false</LinksUpToDate>
  <CharactersWithSpaces>1202</CharactersWithSpaces>
  <Application>WPS Office_11.8.2.10337_F1E327BC-269C-435d-A152-05C5408002CA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2024-04-25T14:49:00Z</dcterms:created>
  <dc:creator>侯健伟</dc:creator>
  <cp:lastModifiedBy>scjgj</cp:lastModifiedBy>
  <dcterms:modified xsi:type="dcterms:W3CDTF">2024-06-28T11:08:23Z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y fmtid="{D5CDD505-2E9C-101B-9397-08002B2CF9AE}" pid="3" name="ICV">
    <vt:lpwstr>401295FA1B0A4B8093173A919C0DA85C_13</vt:lpwstr>
  </property>
</Properties>
</file>