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黑体" w:eastAsia="黑体" w:cs="黑体"/>
          <w:bCs/>
          <w:kern w:val="0"/>
          <w:sz w:val="36"/>
          <w:szCs w:val="36"/>
          <w:lang w:val="en-GB" w:bidi="ar-AE"/>
        </w:rPr>
      </w:pPr>
      <w:r>
        <w:rPr>
          <w:rFonts w:ascii="黑体" w:hAnsi="黑体" w:eastAsia="黑体" w:cs="黑体"/>
          <w:bCs/>
          <w:kern w:val="0"/>
          <w:sz w:val="36"/>
          <w:szCs w:val="36"/>
          <w:lang w:val="en-GB" w:bidi="ar-AE"/>
        </w:rPr>
        <w:t>经营者集中简易案件公示表</w:t>
      </w:r>
    </w:p>
    <w:p>
      <w:pPr>
        <w:spacing w:line="440" w:lineRule="exact"/>
        <w:jc w:val="center"/>
        <w:rPr>
          <w:rFonts w:ascii="黑体" w:hAnsi="黑体" w:eastAsia="黑体" w:cs="黑体"/>
          <w:bCs/>
          <w:kern w:val="0"/>
          <w:sz w:val="36"/>
          <w:szCs w:val="36"/>
          <w:lang w:val="en-GB" w:bidi="ar-AE"/>
        </w:rPr>
      </w:pP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Times New Roman" w:hAnsi="Times New Roman"/>
                <w:b/>
                <w:sz w:val="24"/>
                <w:szCs w:val="24"/>
              </w:rPr>
            </w:pPr>
            <w:r>
              <w:rPr>
                <w:rFonts w:ascii="Times New Roman" w:hAnsi="Times New Roman"/>
                <w:b/>
                <w:sz w:val="24"/>
                <w:szCs w:val="24"/>
              </w:rPr>
              <w:t>案件名称</w:t>
            </w:r>
          </w:p>
        </w:tc>
        <w:tc>
          <w:tcPr>
            <w:tcW w:w="6949" w:type="dxa"/>
            <w:gridSpan w:val="2"/>
          </w:tcPr>
          <w:p>
            <w:pPr>
              <w:rPr>
                <w:rFonts w:ascii="Times New Roman" w:hAnsi="Times New Roman"/>
                <w:sz w:val="24"/>
                <w:szCs w:val="24"/>
              </w:rPr>
            </w:pPr>
            <w:r>
              <w:rPr>
                <w:rFonts w:hint="eastAsia" w:ascii="Times New Roman" w:hAnsi="Times New Roman"/>
                <w:kern w:val="0"/>
                <w:sz w:val="24"/>
                <w:szCs w:val="24"/>
              </w:rPr>
              <w:t>中国电子信息产业集团有限公司与中国电信集团有限公司新设合营企业案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rPr>
                <w:rFonts w:ascii="Times New Roman" w:hAnsi="Times New Roman"/>
                <w:b/>
                <w:sz w:val="24"/>
                <w:szCs w:val="24"/>
              </w:rPr>
            </w:pPr>
            <w:r>
              <w:rPr>
                <w:rFonts w:ascii="Times New Roman" w:hAnsi="Times New Roman"/>
                <w:b/>
                <w:sz w:val="24"/>
                <w:szCs w:val="24"/>
              </w:rPr>
              <w:t>交易概况</w:t>
            </w:r>
          </w:p>
        </w:tc>
        <w:tc>
          <w:tcPr>
            <w:tcW w:w="6949" w:type="dxa"/>
            <w:gridSpan w:val="2"/>
          </w:tcPr>
          <w:p>
            <w:pPr>
              <w:rPr>
                <w:rFonts w:ascii="Times New Roman" w:hAnsi="Times New Roman"/>
                <w:kern w:val="0"/>
                <w:sz w:val="24"/>
                <w:szCs w:val="24"/>
              </w:rPr>
            </w:pPr>
            <w:r>
              <w:rPr>
                <w:rFonts w:hint="eastAsia" w:ascii="Times New Roman" w:hAnsi="Times New Roman"/>
                <w:kern w:val="0"/>
                <w:sz w:val="24"/>
                <w:szCs w:val="24"/>
              </w:rPr>
              <w:t>中国电子信息产业集团有限公司（“中国电子集团”）与中国电信集团有限公司（“中国电信集团”）签署协议，约定共同出资设立一家合营企业，合营企业将主要从事信息技术创新应用相关业务。交易后，中国电子集团和中国电信集团对合营企业具有共同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rPr>
                <w:rFonts w:ascii="Times New Roman" w:hAnsi="Times New Roman"/>
                <w:b/>
                <w:sz w:val="24"/>
                <w:szCs w:val="24"/>
              </w:rPr>
            </w:pPr>
            <w:r>
              <w:rPr>
                <w:rFonts w:ascii="Times New Roman" w:hAnsi="Times New Roman"/>
                <w:b/>
                <w:sz w:val="24"/>
                <w:szCs w:val="24"/>
              </w:rPr>
              <w:t>参与集中的经营者简介</w:t>
            </w:r>
          </w:p>
        </w:tc>
        <w:tc>
          <w:tcPr>
            <w:tcW w:w="1796" w:type="dxa"/>
          </w:tcPr>
          <w:p>
            <w:pPr>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w:t>
            </w:r>
            <w:r>
              <w:rPr>
                <w:rFonts w:hint="eastAsia" w:ascii="Times New Roman" w:hAnsi="Times New Roman"/>
                <w:kern w:val="0"/>
                <w:sz w:val="24"/>
                <w:szCs w:val="24"/>
              </w:rPr>
              <w:t>中国电子信息产业集团有限公司</w:t>
            </w:r>
          </w:p>
        </w:tc>
        <w:tc>
          <w:tcPr>
            <w:tcW w:w="5153" w:type="dxa"/>
          </w:tcPr>
          <w:p>
            <w:pPr>
              <w:rPr>
                <w:rFonts w:ascii="Times New Roman" w:hAnsi="Times New Roman"/>
                <w:sz w:val="24"/>
                <w:szCs w:val="24"/>
              </w:rPr>
            </w:pPr>
            <w:r>
              <w:rPr>
                <w:rFonts w:hint="eastAsia" w:ascii="Times New Roman" w:hAnsi="Times New Roman"/>
                <w:kern w:val="0"/>
                <w:sz w:val="24"/>
                <w:szCs w:val="24"/>
              </w:rPr>
              <w:t>中国电子集团</w:t>
            </w:r>
            <w:r>
              <w:rPr>
                <w:rFonts w:ascii="Times New Roman" w:hAnsi="Times New Roman"/>
                <w:sz w:val="24"/>
                <w:szCs w:val="24"/>
              </w:rPr>
              <w:t>于</w:t>
            </w:r>
            <w:r>
              <w:rPr>
                <w:rFonts w:hint="eastAsia" w:ascii="Times New Roman" w:hAnsi="Times New Roman"/>
                <w:sz w:val="24"/>
                <w:szCs w:val="24"/>
              </w:rPr>
              <w:t>1989年5月26日成立于北京市</w:t>
            </w:r>
            <w:r>
              <w:rPr>
                <w:rFonts w:ascii="Times New Roman" w:hAnsi="Times New Roman"/>
                <w:sz w:val="24"/>
                <w:szCs w:val="24"/>
              </w:rPr>
              <w:t>，</w:t>
            </w:r>
            <w:r>
              <w:rPr>
                <w:rFonts w:hint="eastAsia" w:ascii="Times New Roman" w:hAnsi="Times New Roman"/>
                <w:sz w:val="24"/>
                <w:szCs w:val="24"/>
              </w:rPr>
              <w:t>主要从事计算产业、集成电路、网络安全、数据应用平台、高新电子等领域业务。</w:t>
            </w:r>
          </w:p>
          <w:p>
            <w:pPr>
              <w:rPr>
                <w:rFonts w:ascii="Times New Roman" w:hAnsi="Times New Roman"/>
                <w:sz w:val="24"/>
                <w:szCs w:val="24"/>
              </w:rPr>
            </w:pPr>
            <w:r>
              <w:rPr>
                <w:rFonts w:hint="eastAsia" w:ascii="Times New Roman" w:hAnsi="Times New Roman"/>
                <w:sz w:val="24"/>
                <w:szCs w:val="24"/>
              </w:rPr>
              <w:t>中国电子集团无最终控制人。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rPr>
                <w:rFonts w:ascii="Times New Roman" w:hAnsi="Times New Roman"/>
                <w:b/>
                <w:sz w:val="24"/>
                <w:szCs w:val="24"/>
              </w:rPr>
            </w:pPr>
          </w:p>
        </w:tc>
        <w:tc>
          <w:tcPr>
            <w:tcW w:w="1796" w:type="dxa"/>
          </w:tcPr>
          <w:p>
            <w:pPr>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w:t>
            </w:r>
            <w:r>
              <w:rPr>
                <w:rFonts w:hint="eastAsia" w:ascii="Times New Roman" w:hAnsi="Times New Roman"/>
                <w:kern w:val="0"/>
                <w:sz w:val="24"/>
                <w:szCs w:val="24"/>
              </w:rPr>
              <w:t>中国电信集团有限公司</w:t>
            </w:r>
          </w:p>
        </w:tc>
        <w:tc>
          <w:tcPr>
            <w:tcW w:w="5153" w:type="dxa"/>
          </w:tcPr>
          <w:p>
            <w:pPr>
              <w:rPr>
                <w:rFonts w:ascii="Times New Roman" w:hAnsi="Times New Roman"/>
                <w:sz w:val="24"/>
                <w:szCs w:val="24"/>
              </w:rPr>
            </w:pPr>
            <w:r>
              <w:rPr>
                <w:rFonts w:hint="eastAsia" w:ascii="Times New Roman" w:hAnsi="Times New Roman"/>
                <w:kern w:val="0"/>
                <w:sz w:val="24"/>
                <w:szCs w:val="24"/>
              </w:rPr>
              <w:t>中国电信集团于1995年4月27日成立于</w:t>
            </w:r>
            <w:r>
              <w:rPr>
                <w:rFonts w:hint="eastAsia" w:ascii="Times New Roman" w:hAnsi="Times New Roman"/>
                <w:sz w:val="24"/>
                <w:szCs w:val="24"/>
              </w:rPr>
              <w:t>北京市，主要从事基础电信业务、增值电信业务，以及与通信及信息业务相关的系统集成、技术开发、技术服务、设计施工等业务。</w:t>
            </w:r>
          </w:p>
          <w:p>
            <w:pPr>
              <w:rPr>
                <w:rFonts w:ascii="Times New Roman" w:hAnsi="Times New Roman"/>
                <w:sz w:val="24"/>
                <w:szCs w:val="24"/>
              </w:rPr>
            </w:pPr>
            <w:r>
              <w:rPr>
                <w:rFonts w:hint="eastAsia" w:ascii="Times New Roman" w:hAnsi="Times New Roman"/>
                <w:sz w:val="24"/>
                <w:szCs w:val="24"/>
              </w:rPr>
              <w:t>中国电信集团无最终控制人。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rPr>
                <w:rFonts w:ascii="Times New Roman" w:hAnsi="Times New Roman"/>
                <w:b/>
                <w:sz w:val="24"/>
                <w:szCs w:val="24"/>
              </w:rPr>
            </w:pPr>
            <w:r>
              <w:rPr>
                <w:rFonts w:ascii="Times New Roman" w:hAnsi="Times New Roman"/>
                <w:b/>
                <w:sz w:val="24"/>
                <w:szCs w:val="24"/>
              </w:rPr>
              <w:t>简易案件理由（可以单选，也可以多选）</w:t>
            </w:r>
          </w:p>
        </w:tc>
        <w:tc>
          <w:tcPr>
            <w:tcW w:w="6949" w:type="dxa"/>
            <w:gridSpan w:val="2"/>
          </w:tcPr>
          <w:p>
            <w:pPr>
              <w:rPr>
                <w:rFonts w:ascii="Times New Roman" w:hAnsi="Times New Roman"/>
                <w:sz w:val="24"/>
                <w:szCs w:val="24"/>
              </w:rPr>
            </w:pPr>
            <w:r>
              <w:rPr>
                <w:rFonts w:ascii="Times New Roman" w:hAnsi="Times New Roman"/>
                <w:sz w:val="24"/>
                <w:szCs w:val="24"/>
              </w:rPr>
              <w:sym w:font="Wingdings" w:char="F0FE"/>
            </w:r>
            <w:r>
              <w:rPr>
                <w:rFonts w:ascii="Times New Roman" w:hAnsi="Times New Roman"/>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rPr>
                <w:rFonts w:ascii="Times New Roman" w:hAnsi="Times New Roman"/>
                <w:b/>
                <w:sz w:val="24"/>
                <w:szCs w:val="24"/>
              </w:rPr>
            </w:pPr>
          </w:p>
        </w:tc>
        <w:tc>
          <w:tcPr>
            <w:tcW w:w="6949" w:type="dxa"/>
            <w:gridSpan w:val="2"/>
          </w:tcPr>
          <w:p>
            <w:pPr>
              <w:rPr>
                <w:rFonts w:ascii="Times New Roman" w:hAnsi="Times New Roman"/>
                <w:sz w:val="24"/>
                <w:szCs w:val="24"/>
              </w:rPr>
            </w:pPr>
            <w:r>
              <w:rPr>
                <w:rFonts w:ascii="Times New Roman" w:hAnsi="Times New Roman"/>
                <w:sz w:val="24"/>
                <w:szCs w:val="24"/>
              </w:rPr>
              <w:sym w:font="Wingdings" w:char="F0A8"/>
            </w:r>
            <w:r>
              <w:rPr>
                <w:rFonts w:ascii="Times New Roman" w:hAnsi="Times New Roman"/>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rPr>
                <w:rFonts w:ascii="Times New Roman" w:hAnsi="Times New Roman"/>
                <w:b/>
                <w:sz w:val="24"/>
                <w:szCs w:val="24"/>
              </w:rPr>
            </w:pPr>
          </w:p>
        </w:tc>
        <w:tc>
          <w:tcPr>
            <w:tcW w:w="6949" w:type="dxa"/>
            <w:gridSpan w:val="2"/>
          </w:tcPr>
          <w:p>
            <w:pPr>
              <w:rPr>
                <w:rFonts w:ascii="Times New Roman" w:hAnsi="Times New Roman"/>
                <w:sz w:val="24"/>
                <w:szCs w:val="24"/>
              </w:rPr>
            </w:pPr>
            <w:r>
              <w:rPr>
                <w:rFonts w:ascii="Times New Roman" w:hAnsi="Times New Roman"/>
                <w:sz w:val="24"/>
                <w:szCs w:val="24"/>
              </w:rPr>
              <w:sym w:font="Wingdings" w:char="00FE"/>
            </w:r>
            <w:r>
              <w:rPr>
                <w:rFonts w:ascii="Times New Roman" w:hAnsi="Times New Roman"/>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1809" w:type="dxa"/>
            <w:vMerge w:val="continue"/>
            <w:shd w:val="clear" w:color="auto" w:fill="D9D9D9"/>
          </w:tcPr>
          <w:p>
            <w:pPr>
              <w:rPr>
                <w:rFonts w:ascii="Times New Roman" w:hAnsi="Times New Roman"/>
                <w:b/>
                <w:sz w:val="24"/>
                <w:szCs w:val="24"/>
              </w:rPr>
            </w:pPr>
          </w:p>
        </w:tc>
        <w:tc>
          <w:tcPr>
            <w:tcW w:w="6949" w:type="dxa"/>
            <w:gridSpan w:val="2"/>
          </w:tcPr>
          <w:p>
            <w:pPr>
              <w:rPr>
                <w:rFonts w:ascii="Times New Roman" w:hAnsi="Times New Roman"/>
                <w:sz w:val="24"/>
                <w:szCs w:val="24"/>
              </w:rPr>
            </w:pPr>
            <w:r>
              <w:rPr>
                <w:rFonts w:ascii="Times New Roman" w:hAnsi="Times New Roman"/>
                <w:sz w:val="24"/>
                <w:szCs w:val="24"/>
              </w:rPr>
              <w:sym w:font="Wingdings" w:char="F0A8"/>
            </w:r>
            <w:r>
              <w:rPr>
                <w:rFonts w:ascii="Times New Roman" w:hAnsi="Times New Roman"/>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rPr>
                <w:rFonts w:ascii="Times New Roman" w:hAnsi="Times New Roman"/>
                <w:b/>
                <w:sz w:val="24"/>
                <w:szCs w:val="24"/>
              </w:rPr>
            </w:pPr>
          </w:p>
        </w:tc>
        <w:tc>
          <w:tcPr>
            <w:tcW w:w="6949" w:type="dxa"/>
            <w:gridSpan w:val="2"/>
          </w:tcPr>
          <w:p>
            <w:pPr>
              <w:rPr>
                <w:rFonts w:ascii="Times New Roman" w:hAnsi="Times New Roman"/>
                <w:sz w:val="24"/>
                <w:szCs w:val="24"/>
              </w:rPr>
            </w:pPr>
            <w:r>
              <w:rPr>
                <w:rFonts w:ascii="Times New Roman" w:hAnsi="Times New Roman"/>
                <w:sz w:val="24"/>
                <w:szCs w:val="24"/>
              </w:rPr>
              <w:sym w:font="Wingdings" w:char="F0A8"/>
            </w:r>
            <w:r>
              <w:rPr>
                <w:rFonts w:ascii="Times New Roman" w:hAnsi="Times New Roman"/>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rPr>
                <w:rFonts w:ascii="Times New Roman" w:hAnsi="Times New Roman"/>
                <w:b/>
                <w:sz w:val="24"/>
                <w:szCs w:val="24"/>
              </w:rPr>
            </w:pPr>
          </w:p>
        </w:tc>
        <w:tc>
          <w:tcPr>
            <w:tcW w:w="6949" w:type="dxa"/>
            <w:gridSpan w:val="2"/>
          </w:tcPr>
          <w:p>
            <w:pPr>
              <w:rPr>
                <w:rFonts w:ascii="Times New Roman" w:hAnsi="Times New Roman"/>
                <w:sz w:val="24"/>
                <w:szCs w:val="24"/>
              </w:rPr>
            </w:pPr>
            <w:r>
              <w:rPr>
                <w:rFonts w:ascii="Times New Roman" w:hAnsi="Times New Roman"/>
                <w:sz w:val="24"/>
                <w:szCs w:val="24"/>
              </w:rPr>
              <w:sym w:font="Wingdings" w:char="F0A8"/>
            </w:r>
            <w:r>
              <w:rPr>
                <w:rFonts w:ascii="Times New Roman" w:hAnsi="Times New Roman"/>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Times New Roman" w:hAnsi="Times New Roman"/>
                <w:b/>
                <w:sz w:val="24"/>
                <w:szCs w:val="24"/>
              </w:rPr>
            </w:pPr>
            <w:r>
              <w:rPr>
                <w:rFonts w:ascii="Times New Roman" w:hAnsi="Times New Roman"/>
                <w:b/>
                <w:sz w:val="24"/>
                <w:szCs w:val="24"/>
              </w:rPr>
              <w:t>备注</w:t>
            </w:r>
          </w:p>
        </w:tc>
        <w:tc>
          <w:tcPr>
            <w:tcW w:w="6949" w:type="dxa"/>
            <w:gridSpan w:val="2"/>
          </w:tcPr>
          <w:p>
            <w:pPr>
              <w:rPr>
                <w:rFonts w:ascii="Times New Roman" w:hAnsi="Times New Roman"/>
                <w:sz w:val="24"/>
                <w:szCs w:val="24"/>
              </w:rPr>
            </w:pPr>
            <w:bookmarkStart w:id="0" w:name="_GoBack"/>
            <w:bookmarkEnd w:id="0"/>
            <w:r>
              <w:rPr>
                <w:rFonts w:hint="eastAsia" w:ascii="Times New Roman" w:hAnsi="Times New Roman"/>
                <w:sz w:val="24"/>
                <w:szCs w:val="24"/>
              </w:rPr>
              <w:t>2022年中国境内信创信息技术咨询设计服务市场</w:t>
            </w:r>
          </w:p>
          <w:p>
            <w:pPr>
              <w:rPr>
                <w:rFonts w:ascii="Times New Roman" w:hAnsi="Times New Roman"/>
                <w:sz w:val="24"/>
                <w:szCs w:val="24"/>
              </w:rPr>
            </w:pPr>
            <w:r>
              <w:rPr>
                <w:rFonts w:hint="eastAsia" w:ascii="Times New Roman" w:hAnsi="Times New Roman"/>
                <w:sz w:val="24"/>
                <w:szCs w:val="24"/>
              </w:rPr>
              <w:t>中国电子集团：0-5%，中国电信集团：0-5%，各方合计：0-5%</w:t>
            </w:r>
          </w:p>
          <w:p>
            <w:pPr>
              <w:rPr>
                <w:rFonts w:ascii="Times New Roman" w:hAnsi="Times New Roman"/>
                <w:sz w:val="24"/>
                <w:szCs w:val="24"/>
              </w:rPr>
            </w:pPr>
            <w:r>
              <w:rPr>
                <w:rFonts w:hint="eastAsia" w:ascii="Times New Roman" w:hAnsi="Times New Roman"/>
                <w:sz w:val="24"/>
                <w:szCs w:val="24"/>
              </w:rPr>
              <w:t>2022年中国境内信创云服务市场</w:t>
            </w:r>
          </w:p>
          <w:p>
            <w:pPr>
              <w:rPr>
                <w:rFonts w:ascii="Times New Roman" w:hAnsi="Times New Roman"/>
                <w:sz w:val="24"/>
                <w:szCs w:val="24"/>
              </w:rPr>
            </w:pPr>
            <w:r>
              <w:rPr>
                <w:rFonts w:hint="eastAsia" w:ascii="Times New Roman" w:hAnsi="Times New Roman"/>
                <w:sz w:val="24"/>
                <w:szCs w:val="24"/>
              </w:rPr>
              <w:t>中国电子集团：5-10%，中国电信集团：5-10%，各方合计：10-15%</w:t>
            </w:r>
          </w:p>
        </w:tc>
      </w:tr>
    </w:tbl>
    <w:p>
      <w:pPr>
        <w:rPr>
          <w:rFonts w:ascii="Times New Roman" w:hAnsi="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true"/>
  <w:bordersDoNotSurroundFooter w:val="tru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ZiNzUwN2U3ODdmMTA0YzJjNTk0NTIxNTg4MjhkMzkifQ=="/>
  </w:docVars>
  <w:rsids>
    <w:rsidRoot w:val="00094095"/>
    <w:rsid w:val="000028B9"/>
    <w:rsid w:val="00002BB4"/>
    <w:rsid w:val="0002190B"/>
    <w:rsid w:val="00023510"/>
    <w:rsid w:val="00037795"/>
    <w:rsid w:val="00045966"/>
    <w:rsid w:val="000675A7"/>
    <w:rsid w:val="00081C11"/>
    <w:rsid w:val="00094095"/>
    <w:rsid w:val="000A7223"/>
    <w:rsid w:val="000B347D"/>
    <w:rsid w:val="000B4D65"/>
    <w:rsid w:val="000C0828"/>
    <w:rsid w:val="000E1188"/>
    <w:rsid w:val="00103F1F"/>
    <w:rsid w:val="00113024"/>
    <w:rsid w:val="00113B7D"/>
    <w:rsid w:val="00113F95"/>
    <w:rsid w:val="00115F2B"/>
    <w:rsid w:val="001469CA"/>
    <w:rsid w:val="001530C8"/>
    <w:rsid w:val="00172D73"/>
    <w:rsid w:val="00174A37"/>
    <w:rsid w:val="00180ACB"/>
    <w:rsid w:val="00181838"/>
    <w:rsid w:val="00181E00"/>
    <w:rsid w:val="001A1F68"/>
    <w:rsid w:val="001B6BE7"/>
    <w:rsid w:val="001D2727"/>
    <w:rsid w:val="001D60C2"/>
    <w:rsid w:val="001D6EEA"/>
    <w:rsid w:val="001E6C23"/>
    <w:rsid w:val="001E72E6"/>
    <w:rsid w:val="00212883"/>
    <w:rsid w:val="00233B32"/>
    <w:rsid w:val="00242187"/>
    <w:rsid w:val="00245776"/>
    <w:rsid w:val="00251FFF"/>
    <w:rsid w:val="0027728C"/>
    <w:rsid w:val="002813E3"/>
    <w:rsid w:val="002831E1"/>
    <w:rsid w:val="00286F12"/>
    <w:rsid w:val="00287AEA"/>
    <w:rsid w:val="0029266B"/>
    <w:rsid w:val="002A0992"/>
    <w:rsid w:val="002A2976"/>
    <w:rsid w:val="002A2A64"/>
    <w:rsid w:val="002A5221"/>
    <w:rsid w:val="002B769E"/>
    <w:rsid w:val="002C0878"/>
    <w:rsid w:val="002C150A"/>
    <w:rsid w:val="002C2E9A"/>
    <w:rsid w:val="002C62AF"/>
    <w:rsid w:val="002D3E80"/>
    <w:rsid w:val="002F2D60"/>
    <w:rsid w:val="002F54BC"/>
    <w:rsid w:val="00307976"/>
    <w:rsid w:val="003437D6"/>
    <w:rsid w:val="00344CBE"/>
    <w:rsid w:val="00356FF1"/>
    <w:rsid w:val="00372412"/>
    <w:rsid w:val="003774E4"/>
    <w:rsid w:val="00396DA6"/>
    <w:rsid w:val="003B4AF2"/>
    <w:rsid w:val="003C4E9F"/>
    <w:rsid w:val="003E60C3"/>
    <w:rsid w:val="003F17D9"/>
    <w:rsid w:val="003F3F2D"/>
    <w:rsid w:val="00413CA3"/>
    <w:rsid w:val="004203A2"/>
    <w:rsid w:val="00420515"/>
    <w:rsid w:val="00436C0C"/>
    <w:rsid w:val="00452181"/>
    <w:rsid w:val="00462174"/>
    <w:rsid w:val="00466906"/>
    <w:rsid w:val="004A6517"/>
    <w:rsid w:val="004A72D5"/>
    <w:rsid w:val="004B048E"/>
    <w:rsid w:val="004C37D8"/>
    <w:rsid w:val="004C3E23"/>
    <w:rsid w:val="004D1A60"/>
    <w:rsid w:val="0050375A"/>
    <w:rsid w:val="00511B0C"/>
    <w:rsid w:val="00523151"/>
    <w:rsid w:val="00533635"/>
    <w:rsid w:val="00547709"/>
    <w:rsid w:val="00547EC1"/>
    <w:rsid w:val="0055631E"/>
    <w:rsid w:val="00563F1C"/>
    <w:rsid w:val="00586928"/>
    <w:rsid w:val="00587541"/>
    <w:rsid w:val="005A0F48"/>
    <w:rsid w:val="005A31C8"/>
    <w:rsid w:val="005A5B31"/>
    <w:rsid w:val="005B29A6"/>
    <w:rsid w:val="005B2A20"/>
    <w:rsid w:val="005B2A61"/>
    <w:rsid w:val="005C08E4"/>
    <w:rsid w:val="005D1F1F"/>
    <w:rsid w:val="005D3977"/>
    <w:rsid w:val="005E3C20"/>
    <w:rsid w:val="005F167B"/>
    <w:rsid w:val="006041D2"/>
    <w:rsid w:val="006100B9"/>
    <w:rsid w:val="00610AE9"/>
    <w:rsid w:val="00611DE4"/>
    <w:rsid w:val="006302F7"/>
    <w:rsid w:val="00634511"/>
    <w:rsid w:val="00644282"/>
    <w:rsid w:val="006472DE"/>
    <w:rsid w:val="0065422A"/>
    <w:rsid w:val="006557DC"/>
    <w:rsid w:val="006571B5"/>
    <w:rsid w:val="006A088E"/>
    <w:rsid w:val="006C140A"/>
    <w:rsid w:val="006C3910"/>
    <w:rsid w:val="006C46AA"/>
    <w:rsid w:val="006C59FA"/>
    <w:rsid w:val="006D069E"/>
    <w:rsid w:val="006D1520"/>
    <w:rsid w:val="006D36E3"/>
    <w:rsid w:val="006E538B"/>
    <w:rsid w:val="00706527"/>
    <w:rsid w:val="00706B49"/>
    <w:rsid w:val="00706C14"/>
    <w:rsid w:val="007421E3"/>
    <w:rsid w:val="00760695"/>
    <w:rsid w:val="00780DAA"/>
    <w:rsid w:val="00784A67"/>
    <w:rsid w:val="007A5837"/>
    <w:rsid w:val="007B64AD"/>
    <w:rsid w:val="007C0297"/>
    <w:rsid w:val="007D4D02"/>
    <w:rsid w:val="007E07D5"/>
    <w:rsid w:val="00806E95"/>
    <w:rsid w:val="00811E74"/>
    <w:rsid w:val="008356DA"/>
    <w:rsid w:val="00836E2D"/>
    <w:rsid w:val="00862608"/>
    <w:rsid w:val="008721F6"/>
    <w:rsid w:val="00886997"/>
    <w:rsid w:val="00890504"/>
    <w:rsid w:val="008A1FF1"/>
    <w:rsid w:val="008A21F2"/>
    <w:rsid w:val="008A3827"/>
    <w:rsid w:val="008A70B2"/>
    <w:rsid w:val="008B2DDF"/>
    <w:rsid w:val="008B7419"/>
    <w:rsid w:val="008D3D13"/>
    <w:rsid w:val="008E34BF"/>
    <w:rsid w:val="008E5233"/>
    <w:rsid w:val="008F04A2"/>
    <w:rsid w:val="00921469"/>
    <w:rsid w:val="009270BA"/>
    <w:rsid w:val="00955419"/>
    <w:rsid w:val="00957D49"/>
    <w:rsid w:val="00981269"/>
    <w:rsid w:val="009910F5"/>
    <w:rsid w:val="009B5F0D"/>
    <w:rsid w:val="009B68C5"/>
    <w:rsid w:val="009D344D"/>
    <w:rsid w:val="009E42AF"/>
    <w:rsid w:val="009E66B3"/>
    <w:rsid w:val="009F50D7"/>
    <w:rsid w:val="00A022A4"/>
    <w:rsid w:val="00A03B12"/>
    <w:rsid w:val="00A1517B"/>
    <w:rsid w:val="00A15F64"/>
    <w:rsid w:val="00A41B45"/>
    <w:rsid w:val="00A44ED8"/>
    <w:rsid w:val="00A665BC"/>
    <w:rsid w:val="00A83243"/>
    <w:rsid w:val="00A87FEF"/>
    <w:rsid w:val="00A9684C"/>
    <w:rsid w:val="00AA0D58"/>
    <w:rsid w:val="00AB5008"/>
    <w:rsid w:val="00AB707C"/>
    <w:rsid w:val="00AC0172"/>
    <w:rsid w:val="00AC4929"/>
    <w:rsid w:val="00AC6ECA"/>
    <w:rsid w:val="00AD0AE2"/>
    <w:rsid w:val="00AE4242"/>
    <w:rsid w:val="00B04EE2"/>
    <w:rsid w:val="00B06644"/>
    <w:rsid w:val="00B1293A"/>
    <w:rsid w:val="00B25D98"/>
    <w:rsid w:val="00B34F97"/>
    <w:rsid w:val="00B356C9"/>
    <w:rsid w:val="00B43DE3"/>
    <w:rsid w:val="00B54D27"/>
    <w:rsid w:val="00B5530C"/>
    <w:rsid w:val="00B577EB"/>
    <w:rsid w:val="00BA0750"/>
    <w:rsid w:val="00BA5C49"/>
    <w:rsid w:val="00BA625B"/>
    <w:rsid w:val="00BA6300"/>
    <w:rsid w:val="00BA6FC1"/>
    <w:rsid w:val="00BB2377"/>
    <w:rsid w:val="00BD3B0B"/>
    <w:rsid w:val="00BF6B9A"/>
    <w:rsid w:val="00BF7086"/>
    <w:rsid w:val="00C21FDF"/>
    <w:rsid w:val="00C4585B"/>
    <w:rsid w:val="00C569EB"/>
    <w:rsid w:val="00C64E86"/>
    <w:rsid w:val="00C65086"/>
    <w:rsid w:val="00C70C64"/>
    <w:rsid w:val="00C8636B"/>
    <w:rsid w:val="00C86C98"/>
    <w:rsid w:val="00C9068E"/>
    <w:rsid w:val="00C91A03"/>
    <w:rsid w:val="00C96603"/>
    <w:rsid w:val="00CA5F18"/>
    <w:rsid w:val="00CA6C50"/>
    <w:rsid w:val="00CB4BBA"/>
    <w:rsid w:val="00CC1D35"/>
    <w:rsid w:val="00CC4B1B"/>
    <w:rsid w:val="00CE537D"/>
    <w:rsid w:val="00CF60DF"/>
    <w:rsid w:val="00D02388"/>
    <w:rsid w:val="00D11C3C"/>
    <w:rsid w:val="00D12436"/>
    <w:rsid w:val="00D21633"/>
    <w:rsid w:val="00D2163D"/>
    <w:rsid w:val="00D21777"/>
    <w:rsid w:val="00D30389"/>
    <w:rsid w:val="00D368E0"/>
    <w:rsid w:val="00D4025F"/>
    <w:rsid w:val="00D45F07"/>
    <w:rsid w:val="00D671EF"/>
    <w:rsid w:val="00D74F3E"/>
    <w:rsid w:val="00D753A8"/>
    <w:rsid w:val="00D81F44"/>
    <w:rsid w:val="00DB4D94"/>
    <w:rsid w:val="00DB5392"/>
    <w:rsid w:val="00DB6A8B"/>
    <w:rsid w:val="00DD24A1"/>
    <w:rsid w:val="00DD5AC0"/>
    <w:rsid w:val="00DD7DFA"/>
    <w:rsid w:val="00DF4497"/>
    <w:rsid w:val="00E02606"/>
    <w:rsid w:val="00E3225D"/>
    <w:rsid w:val="00E35572"/>
    <w:rsid w:val="00E54F55"/>
    <w:rsid w:val="00E60552"/>
    <w:rsid w:val="00E761B9"/>
    <w:rsid w:val="00E845A7"/>
    <w:rsid w:val="00EA6518"/>
    <w:rsid w:val="00EC7CC2"/>
    <w:rsid w:val="00ED21B1"/>
    <w:rsid w:val="00EE0E6B"/>
    <w:rsid w:val="00EE3DDA"/>
    <w:rsid w:val="00EF03F5"/>
    <w:rsid w:val="00EF250E"/>
    <w:rsid w:val="00F004B1"/>
    <w:rsid w:val="00F02E06"/>
    <w:rsid w:val="00F04325"/>
    <w:rsid w:val="00F71627"/>
    <w:rsid w:val="00F730F2"/>
    <w:rsid w:val="00F74404"/>
    <w:rsid w:val="00F80D6E"/>
    <w:rsid w:val="00F85488"/>
    <w:rsid w:val="00F87C1F"/>
    <w:rsid w:val="00FA02FD"/>
    <w:rsid w:val="00FA0C1A"/>
    <w:rsid w:val="00FA395D"/>
    <w:rsid w:val="00FD2F77"/>
    <w:rsid w:val="00FD7A17"/>
    <w:rsid w:val="00FE4003"/>
    <w:rsid w:val="14FECAF9"/>
    <w:rsid w:val="2DED0252"/>
    <w:rsid w:val="6C9601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endnote text"/>
    <w:basedOn w:val="1"/>
    <w:link w:val="13"/>
    <w:semiHidden/>
    <w:unhideWhenUsed/>
    <w:qFormat/>
    <w:uiPriority w:val="99"/>
    <w:pPr>
      <w:snapToGrid w:val="0"/>
      <w:jc w:val="left"/>
    </w:p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20"/>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ndnote reference"/>
    <w:semiHidden/>
    <w:unhideWhenUsed/>
    <w:qFormat/>
    <w:uiPriority w:val="99"/>
    <w:rPr>
      <w:vertAlign w:val="superscript"/>
    </w:rPr>
  </w:style>
  <w:style w:type="character" w:styleId="12">
    <w:name w:val="annotation reference"/>
    <w:basedOn w:val="10"/>
    <w:semiHidden/>
    <w:unhideWhenUsed/>
    <w:qFormat/>
    <w:uiPriority w:val="99"/>
    <w:rPr>
      <w:sz w:val="21"/>
      <w:szCs w:val="21"/>
    </w:rPr>
  </w:style>
  <w:style w:type="character" w:customStyle="1" w:styleId="13">
    <w:name w:val="尾注文本 字符"/>
    <w:basedOn w:val="10"/>
    <w:link w:val="3"/>
    <w:semiHidden/>
    <w:qFormat/>
    <w:uiPriority w:val="99"/>
  </w:style>
  <w:style w:type="character" w:customStyle="1" w:styleId="14">
    <w:name w:val="页眉 字符"/>
    <w:link w:val="6"/>
    <w:qFormat/>
    <w:uiPriority w:val="99"/>
    <w:rPr>
      <w:sz w:val="18"/>
      <w:szCs w:val="18"/>
    </w:rPr>
  </w:style>
  <w:style w:type="character" w:customStyle="1" w:styleId="15">
    <w:name w:val="页脚 字符"/>
    <w:link w:val="5"/>
    <w:qFormat/>
    <w:uiPriority w:val="99"/>
    <w:rPr>
      <w:sz w:val="18"/>
      <w:szCs w:val="18"/>
    </w:rPr>
  </w:style>
  <w:style w:type="character" w:customStyle="1" w:styleId="16">
    <w:name w:val="批注框文本 字符"/>
    <w:link w:val="4"/>
    <w:semiHidden/>
    <w:qFormat/>
    <w:uiPriority w:val="99"/>
    <w:rPr>
      <w:kern w:val="2"/>
      <w:sz w:val="18"/>
      <w:szCs w:val="18"/>
    </w:rPr>
  </w:style>
  <w:style w:type="paragraph" w:styleId="17">
    <w:name w:val="List Paragraph"/>
    <w:basedOn w:val="1"/>
    <w:qFormat/>
    <w:uiPriority w:val="34"/>
    <w:pPr>
      <w:ind w:firstLine="420" w:firstLineChars="200"/>
    </w:pPr>
  </w:style>
  <w:style w:type="paragraph" w:customStyle="1" w:styleId="18">
    <w:name w:val="修订1"/>
    <w:hidden/>
    <w:semiHidden/>
    <w:qFormat/>
    <w:uiPriority w:val="99"/>
    <w:rPr>
      <w:rFonts w:ascii="Calibri" w:hAnsi="Calibri" w:eastAsia="宋体" w:cs="Times New Roman"/>
      <w:kern w:val="2"/>
      <w:sz w:val="21"/>
      <w:szCs w:val="22"/>
      <w:lang w:val="en-US" w:eastAsia="zh-CN" w:bidi="ar-SA"/>
    </w:rPr>
  </w:style>
  <w:style w:type="character" w:customStyle="1" w:styleId="19">
    <w:name w:val="批注文字 字符"/>
    <w:basedOn w:val="10"/>
    <w:link w:val="2"/>
    <w:qFormat/>
    <w:uiPriority w:val="99"/>
    <w:rPr>
      <w:kern w:val="2"/>
      <w:sz w:val="21"/>
      <w:szCs w:val="22"/>
    </w:rPr>
  </w:style>
  <w:style w:type="character" w:customStyle="1" w:styleId="20">
    <w:name w:val="批注主题 字符"/>
    <w:basedOn w:val="19"/>
    <w:link w:val="7"/>
    <w:semiHidden/>
    <w:qFormat/>
    <w:uiPriority w:val="99"/>
    <w:rPr>
      <w:b/>
      <w:bCs/>
      <w:kern w:val="2"/>
      <w:sz w:val="21"/>
      <w:szCs w:val="22"/>
    </w:rPr>
  </w:style>
  <w:style w:type="paragraph" w:customStyle="1" w:styleId="21">
    <w:name w:val="Revision"/>
    <w:hidden/>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zhonglun</Company>
  <Pages>1</Pages>
  <Words>120</Words>
  <Characters>689</Characters>
  <Lines>5</Lines>
  <Paragraphs>1</Paragraphs>
  <TotalTime>565</TotalTime>
  <ScaleCrop>false</ScaleCrop>
  <LinksUpToDate>false</LinksUpToDate>
  <CharactersWithSpaces>808</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2020-10-13T00:59:00Z</dcterms:created>
  <dc:creator>LI YUANG / Hylands</dc:creator>
  <cp:lastModifiedBy>greatwall</cp:lastModifiedBy>
  <cp:lastPrinted>2014-10-08T18:48:00Z</cp:lastPrinted>
  <dcterms:modified xsi:type="dcterms:W3CDTF">2024-07-10T10:24:53Z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y fmtid="{D5CDD505-2E9C-101B-9397-08002B2CF9AE}" pid="3" name="ICV">
    <vt:lpwstr>B4DDD73C32BA4B1B9F1FE271398F9632_12</vt:lpwstr>
  </property>
</Properties>
</file>