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6"/>
          <w:szCs w:val="30"/>
        </w:rPr>
      </w:pPr>
      <w:r>
        <w:rPr>
          <w:rFonts w:hint="eastAsia" w:ascii="黑体" w:hAnsi="Times New Roman" w:eastAsia="黑体"/>
          <w:sz w:val="36"/>
          <w:szCs w:val="30"/>
        </w:rPr>
        <w:t>经营者集中简易案件公示表</w:t>
      </w:r>
    </w:p>
    <w:p>
      <w:pPr>
        <w:spacing w:line="440" w:lineRule="exact"/>
        <w:jc w:val="center"/>
        <w:rPr>
          <w:rFonts w:ascii="黑体" w:hAnsi="Times New Roman" w:eastAsia="黑体"/>
          <w:sz w:val="30"/>
          <w:szCs w:val="30"/>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440"/>
        <w:gridCol w:w="5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shd w:val="clear" w:color="auto" w:fill="D9D9D9"/>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t>案件名称</w:t>
            </w:r>
          </w:p>
        </w:tc>
        <w:tc>
          <w:tcPr>
            <w:tcW w:w="7028" w:type="dxa"/>
            <w:gridSpan w:val="2"/>
            <w:vAlign w:val="center"/>
          </w:tcPr>
          <w:p>
            <w:pPr>
              <w:jc w:val="left"/>
              <w:rPr>
                <w:rFonts w:ascii="Times New Roman" w:hAnsi="Times New Roman"/>
                <w:color w:val="333333"/>
                <w:kern w:val="0"/>
                <w:sz w:val="24"/>
                <w:szCs w:val="24"/>
              </w:rPr>
            </w:pPr>
            <w:bookmarkStart w:id="0" w:name="OLE_LINK1"/>
            <w:bookmarkStart w:id="1" w:name="OLE_LINK7"/>
            <w:r>
              <w:rPr>
                <w:rFonts w:hint="eastAsia" w:ascii="Times New Roman" w:hAnsi="Times New Roman"/>
                <w:color w:val="333333"/>
                <w:kern w:val="0"/>
                <w:sz w:val="24"/>
                <w:szCs w:val="24"/>
              </w:rPr>
              <w:t>上海汽车电驱动有限公司</w:t>
            </w:r>
            <w:bookmarkEnd w:id="0"/>
            <w:r>
              <w:rPr>
                <w:rFonts w:hint="eastAsia" w:ascii="Times New Roman" w:hAnsi="Times New Roman"/>
                <w:color w:val="333333"/>
                <w:kern w:val="0"/>
                <w:sz w:val="24"/>
                <w:szCs w:val="24"/>
              </w:rPr>
              <w:t>与</w:t>
            </w:r>
            <w:bookmarkStart w:id="2" w:name="OLE_LINK2"/>
            <w:r>
              <w:rPr>
                <w:rFonts w:hint="eastAsia" w:ascii="Times New Roman" w:hAnsi="Times New Roman"/>
                <w:color w:val="333333"/>
                <w:kern w:val="0"/>
                <w:sz w:val="24"/>
                <w:szCs w:val="24"/>
              </w:rPr>
              <w:t>上海欣锐电控技术有限公司</w:t>
            </w:r>
            <w:bookmarkEnd w:id="2"/>
            <w:r>
              <w:rPr>
                <w:rFonts w:hint="eastAsia" w:ascii="Times New Roman" w:hAnsi="Times New Roman"/>
                <w:color w:val="333333"/>
                <w:kern w:val="0"/>
                <w:sz w:val="24"/>
                <w:szCs w:val="24"/>
              </w:rPr>
              <w:t>新设合营企业案</w:t>
            </w:r>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42" w:type="dxa"/>
            <w:shd w:val="clear" w:color="auto" w:fill="D9D9D9"/>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t>交易概况（限200字内）</w:t>
            </w:r>
          </w:p>
        </w:tc>
        <w:tc>
          <w:tcPr>
            <w:tcW w:w="7028" w:type="dxa"/>
            <w:gridSpan w:val="2"/>
            <w:vAlign w:val="center"/>
          </w:tcPr>
          <w:p>
            <w:pPr>
              <w:jc w:val="left"/>
              <w:rPr>
                <w:rFonts w:ascii="Times New Roman" w:hAnsi="Times New Roman"/>
                <w:color w:val="333333"/>
                <w:kern w:val="0"/>
                <w:sz w:val="24"/>
                <w:szCs w:val="24"/>
              </w:rPr>
            </w:pPr>
            <w:r>
              <w:rPr>
                <w:rFonts w:hint="eastAsia" w:ascii="Times New Roman" w:hAnsi="Times New Roman"/>
                <w:color w:val="333333"/>
                <w:kern w:val="0"/>
                <w:sz w:val="24"/>
                <w:szCs w:val="24"/>
              </w:rPr>
              <w:t>上海汽车电驱动有限公司</w:t>
            </w:r>
            <w:r>
              <w:rPr>
                <w:rFonts w:ascii="Times New Roman" w:hAnsi="Times New Roman"/>
                <w:b/>
                <w:bCs/>
                <w:color w:val="333333"/>
                <w:kern w:val="0"/>
                <w:sz w:val="24"/>
                <w:szCs w:val="24"/>
              </w:rPr>
              <w:t>（“</w:t>
            </w:r>
            <w:r>
              <w:rPr>
                <w:rFonts w:hint="eastAsia" w:ascii="Times New Roman" w:hAnsi="Times New Roman"/>
                <w:b/>
                <w:bCs/>
                <w:color w:val="333333"/>
                <w:kern w:val="0"/>
                <w:sz w:val="24"/>
                <w:szCs w:val="24"/>
              </w:rPr>
              <w:t>上海汽车电驱动</w:t>
            </w:r>
            <w:r>
              <w:rPr>
                <w:rFonts w:ascii="Times New Roman" w:hAnsi="Times New Roman"/>
                <w:b/>
                <w:bCs/>
                <w:color w:val="333333"/>
                <w:kern w:val="0"/>
                <w:sz w:val="24"/>
                <w:szCs w:val="24"/>
              </w:rPr>
              <w:t>”）</w:t>
            </w:r>
            <w:r>
              <w:rPr>
                <w:rFonts w:ascii="Times New Roman" w:hAnsi="Times New Roman"/>
                <w:color w:val="333333"/>
                <w:kern w:val="0"/>
                <w:sz w:val="24"/>
                <w:szCs w:val="24"/>
              </w:rPr>
              <w:t>和</w:t>
            </w:r>
            <w:bookmarkStart w:id="3" w:name="OLE_LINK3"/>
            <w:r>
              <w:rPr>
                <w:rFonts w:hint="eastAsia" w:ascii="Times New Roman" w:hAnsi="Times New Roman"/>
                <w:color w:val="333333"/>
                <w:kern w:val="0"/>
                <w:sz w:val="24"/>
                <w:szCs w:val="24"/>
              </w:rPr>
              <w:t>上海欣锐</w:t>
            </w:r>
            <w:bookmarkEnd w:id="3"/>
            <w:r>
              <w:rPr>
                <w:rFonts w:hint="eastAsia" w:ascii="Times New Roman" w:hAnsi="Times New Roman"/>
                <w:color w:val="333333"/>
                <w:kern w:val="0"/>
                <w:sz w:val="24"/>
                <w:szCs w:val="24"/>
              </w:rPr>
              <w:t>电控技术有限公司</w:t>
            </w:r>
            <w:r>
              <w:rPr>
                <w:rFonts w:ascii="Times New Roman" w:hAnsi="Times New Roman"/>
                <w:b/>
                <w:bCs/>
                <w:color w:val="333333"/>
                <w:kern w:val="0"/>
                <w:sz w:val="24"/>
                <w:szCs w:val="24"/>
              </w:rPr>
              <w:t>（“</w:t>
            </w:r>
            <w:r>
              <w:rPr>
                <w:rFonts w:hint="eastAsia" w:ascii="Times New Roman" w:hAnsi="Times New Roman"/>
                <w:b/>
                <w:bCs/>
                <w:color w:val="333333"/>
                <w:kern w:val="0"/>
                <w:sz w:val="24"/>
                <w:szCs w:val="24"/>
              </w:rPr>
              <w:t>上海欣锐</w:t>
            </w:r>
            <w:r>
              <w:rPr>
                <w:rFonts w:ascii="Times New Roman" w:hAnsi="Times New Roman"/>
                <w:b/>
                <w:bCs/>
                <w:color w:val="333333"/>
                <w:kern w:val="0"/>
                <w:sz w:val="24"/>
                <w:szCs w:val="24"/>
              </w:rPr>
              <w:t>”）</w:t>
            </w:r>
            <w:r>
              <w:rPr>
                <w:rFonts w:ascii="Times New Roman" w:hAnsi="Times New Roman"/>
                <w:color w:val="333333"/>
                <w:kern w:val="0"/>
                <w:sz w:val="24"/>
                <w:szCs w:val="24"/>
              </w:rPr>
              <w:t>签署交易协议，拟在</w:t>
            </w:r>
            <w:r>
              <w:rPr>
                <w:rFonts w:hint="eastAsia" w:ascii="Times New Roman" w:hAnsi="Times New Roman"/>
                <w:color w:val="333333"/>
                <w:kern w:val="0"/>
                <w:sz w:val="24"/>
                <w:szCs w:val="24"/>
              </w:rPr>
              <w:t>上海市设立</w:t>
            </w:r>
            <w:r>
              <w:rPr>
                <w:rFonts w:ascii="Times New Roman" w:hAnsi="Times New Roman"/>
                <w:color w:val="333333"/>
                <w:kern w:val="0"/>
                <w:sz w:val="24"/>
                <w:szCs w:val="24"/>
              </w:rPr>
              <w:t>合营企业，合营企业</w:t>
            </w:r>
            <w:r>
              <w:rPr>
                <w:rFonts w:hint="eastAsia" w:ascii="Times New Roman" w:hAnsi="Times New Roman"/>
                <w:color w:val="333333"/>
                <w:kern w:val="0"/>
                <w:sz w:val="24"/>
                <w:szCs w:val="24"/>
              </w:rPr>
              <w:t>拟从事新能源乘用车用多合一深度集成电控总成平台技术开发业务等</w:t>
            </w:r>
            <w:r>
              <w:rPr>
                <w:rFonts w:ascii="Times New Roman" w:hAnsi="Times New Roman"/>
                <w:color w:val="333333"/>
                <w:kern w:val="0"/>
                <w:sz w:val="24"/>
                <w:szCs w:val="24"/>
              </w:rPr>
              <w:t>。</w:t>
            </w:r>
            <w:bookmarkStart w:id="9" w:name="_GoBack"/>
            <w:bookmarkEnd w:id="9"/>
          </w:p>
          <w:p>
            <w:pPr>
              <w:jc w:val="left"/>
              <w:rPr>
                <w:rFonts w:ascii="Times New Roman" w:hAnsi="Times New Roman"/>
                <w:color w:val="333333"/>
                <w:kern w:val="0"/>
                <w:sz w:val="24"/>
                <w:szCs w:val="24"/>
              </w:rPr>
            </w:pPr>
            <w:r>
              <w:rPr>
                <w:rFonts w:ascii="Times New Roman" w:hAnsi="Times New Roman"/>
                <w:color w:val="333333"/>
                <w:kern w:val="0"/>
                <w:sz w:val="24"/>
                <w:szCs w:val="24"/>
              </w:rPr>
              <w:t>拟议交易完成后，</w:t>
            </w:r>
            <w:r>
              <w:rPr>
                <w:rFonts w:hint="eastAsia" w:ascii="Times New Roman" w:hAnsi="Times New Roman"/>
                <w:color w:val="333333"/>
                <w:kern w:val="0"/>
                <w:sz w:val="24"/>
                <w:szCs w:val="24"/>
              </w:rPr>
              <w:t>上海汽车电驱动</w:t>
            </w:r>
            <w:r>
              <w:rPr>
                <w:rFonts w:ascii="Times New Roman" w:hAnsi="Times New Roman"/>
                <w:color w:val="333333"/>
                <w:kern w:val="0"/>
                <w:sz w:val="24"/>
                <w:szCs w:val="24"/>
              </w:rPr>
              <w:t>和</w:t>
            </w:r>
            <w:r>
              <w:rPr>
                <w:rFonts w:hint="eastAsia" w:ascii="Times New Roman" w:hAnsi="Times New Roman"/>
                <w:color w:val="333333"/>
                <w:kern w:val="0"/>
                <w:sz w:val="24"/>
                <w:szCs w:val="24"/>
              </w:rPr>
              <w:t>上海欣锐</w:t>
            </w:r>
            <w:r>
              <w:rPr>
                <w:rFonts w:ascii="Times New Roman" w:hAnsi="Times New Roman"/>
                <w:color w:val="333333"/>
                <w:kern w:val="0"/>
                <w:sz w:val="24"/>
                <w:szCs w:val="24"/>
              </w:rPr>
              <w:t>将分别持有合营企业5</w:t>
            </w:r>
            <w:r>
              <w:rPr>
                <w:rFonts w:hint="eastAsia" w:ascii="Times New Roman" w:hAnsi="Times New Roman"/>
                <w:color w:val="333333"/>
                <w:kern w:val="0"/>
                <w:sz w:val="24"/>
                <w:szCs w:val="24"/>
              </w:rPr>
              <w:t>0</w:t>
            </w:r>
            <w:r>
              <w:rPr>
                <w:rFonts w:ascii="Times New Roman" w:hAnsi="Times New Roman"/>
                <w:color w:val="333333"/>
                <w:kern w:val="0"/>
                <w:sz w:val="24"/>
                <w:szCs w:val="24"/>
              </w:rPr>
              <w:t>%和</w:t>
            </w:r>
            <w:r>
              <w:rPr>
                <w:rFonts w:hint="eastAsia" w:ascii="Times New Roman" w:hAnsi="Times New Roman"/>
                <w:color w:val="333333"/>
                <w:kern w:val="0"/>
                <w:sz w:val="24"/>
                <w:szCs w:val="24"/>
              </w:rPr>
              <w:t>50</w:t>
            </w:r>
            <w:r>
              <w:rPr>
                <w:rFonts w:ascii="Times New Roman" w:hAnsi="Times New Roman"/>
                <w:color w:val="333333"/>
                <w:kern w:val="0"/>
                <w:sz w:val="24"/>
                <w:szCs w:val="24"/>
              </w:rPr>
              <w:t>%的股权，合营企业将由</w:t>
            </w:r>
            <w:r>
              <w:rPr>
                <w:rFonts w:hint="eastAsia" w:ascii="Times New Roman" w:hAnsi="Times New Roman"/>
                <w:color w:val="333333"/>
                <w:kern w:val="0"/>
                <w:sz w:val="24"/>
                <w:szCs w:val="24"/>
              </w:rPr>
              <w:t>上海汽车电驱动和上海欣锐</w:t>
            </w:r>
            <w:r>
              <w:rPr>
                <w:rFonts w:ascii="Times New Roman" w:hAnsi="Times New Roman"/>
                <w:color w:val="333333"/>
                <w:kern w:val="0"/>
                <w:sz w:val="24"/>
                <w:szCs w:val="24"/>
              </w:rPr>
              <w:t>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242" w:type="dxa"/>
            <w:vMerge w:val="restart"/>
            <w:shd w:val="clear" w:color="auto" w:fill="D9D9D9"/>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t>参与集中的经营者简介</w:t>
            </w:r>
          </w:p>
        </w:tc>
        <w:tc>
          <w:tcPr>
            <w:tcW w:w="1440" w:type="dxa"/>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t>1、</w:t>
            </w:r>
            <w:r>
              <w:rPr>
                <w:rFonts w:hint="eastAsia" w:ascii="Times New Roman" w:hAnsi="Times New Roman"/>
                <w:color w:val="333333"/>
                <w:kern w:val="0"/>
                <w:sz w:val="24"/>
                <w:szCs w:val="24"/>
              </w:rPr>
              <w:t>上海汽车电驱动</w:t>
            </w:r>
          </w:p>
          <w:p>
            <w:pPr>
              <w:jc w:val="left"/>
              <w:rPr>
                <w:rFonts w:ascii="Times New Roman" w:hAnsi="Times New Roman"/>
                <w:color w:val="333333"/>
                <w:kern w:val="0"/>
                <w:sz w:val="24"/>
                <w:szCs w:val="24"/>
              </w:rPr>
            </w:pPr>
          </w:p>
        </w:tc>
        <w:tc>
          <w:tcPr>
            <w:tcW w:w="5588" w:type="dxa"/>
            <w:vAlign w:val="center"/>
          </w:tcPr>
          <w:p>
            <w:pPr>
              <w:jc w:val="left"/>
              <w:rPr>
                <w:rFonts w:ascii="Times New Roman" w:hAnsi="Times New Roman"/>
                <w:color w:val="333333"/>
                <w:kern w:val="0"/>
                <w:sz w:val="24"/>
                <w:szCs w:val="24"/>
              </w:rPr>
            </w:pPr>
            <w:r>
              <w:rPr>
                <w:rFonts w:hint="eastAsia" w:ascii="Times New Roman" w:hAnsi="Times New Roman"/>
                <w:color w:val="333333"/>
                <w:kern w:val="0"/>
                <w:sz w:val="24"/>
                <w:szCs w:val="24"/>
              </w:rPr>
              <w:t>上海汽车电驱动于2010年成立于上海市，主营业务为销售建筑及家居电器电机、新能源汽车动力总成系统、车辆旋转电器、</w:t>
            </w:r>
            <w:r>
              <w:rPr>
                <w:rFonts w:ascii="Times New Roman" w:hAnsi="Times New Roman"/>
                <w:color w:val="333333"/>
                <w:kern w:val="0"/>
                <w:sz w:val="24"/>
                <w:szCs w:val="24"/>
              </w:rPr>
              <w:t>氢燃料电池</w:t>
            </w:r>
            <w:r>
              <w:rPr>
                <w:rFonts w:hint="eastAsia" w:ascii="Times New Roman" w:hAnsi="Times New Roman"/>
                <w:color w:val="333333"/>
                <w:kern w:val="0"/>
                <w:sz w:val="24"/>
                <w:szCs w:val="24"/>
              </w:rPr>
              <w:t>辅助系统（空压机、高压水泵）等产品。</w:t>
            </w:r>
          </w:p>
          <w:p>
            <w:pPr>
              <w:jc w:val="left"/>
              <w:rPr>
                <w:rFonts w:ascii="Times New Roman" w:hAnsi="Times New Roman"/>
                <w:color w:val="333333"/>
                <w:kern w:val="0"/>
                <w:sz w:val="24"/>
                <w:szCs w:val="24"/>
              </w:rPr>
            </w:pPr>
            <w:r>
              <w:rPr>
                <w:rFonts w:hint="eastAsia" w:ascii="Times New Roman" w:hAnsi="Times New Roman"/>
                <w:color w:val="333333"/>
                <w:kern w:val="0"/>
                <w:sz w:val="24"/>
                <w:szCs w:val="24"/>
              </w:rPr>
              <w:t>上海汽车电驱动的最终控制人为自然人，</w:t>
            </w:r>
            <w:bookmarkStart w:id="4" w:name="OLE_LINK4"/>
            <w:r>
              <w:rPr>
                <w:rFonts w:hint="eastAsia" w:ascii="Times New Roman" w:hAnsi="Times New Roman"/>
                <w:color w:val="333333"/>
                <w:kern w:val="0"/>
                <w:sz w:val="24"/>
                <w:szCs w:val="24"/>
              </w:rPr>
              <w:t>主要通过上海汽车电驱动从事相关业务。</w:t>
            </w:r>
            <w:bookmarkEnd w:id="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242" w:type="dxa"/>
            <w:vMerge w:val="continue"/>
            <w:shd w:val="clear" w:color="auto" w:fill="D9D9D9"/>
            <w:vAlign w:val="center"/>
          </w:tcPr>
          <w:p>
            <w:pPr>
              <w:jc w:val="left"/>
              <w:rPr>
                <w:rFonts w:ascii="Times New Roman" w:hAnsi="Times New Roman"/>
                <w:color w:val="333333"/>
                <w:kern w:val="0"/>
                <w:sz w:val="24"/>
                <w:szCs w:val="24"/>
              </w:rPr>
            </w:pPr>
          </w:p>
        </w:tc>
        <w:tc>
          <w:tcPr>
            <w:tcW w:w="1440" w:type="dxa"/>
            <w:vAlign w:val="center"/>
          </w:tcPr>
          <w:p>
            <w:pPr>
              <w:jc w:val="left"/>
              <w:rPr>
                <w:rFonts w:ascii="Times New Roman" w:hAnsi="Times New Roman"/>
                <w:color w:val="333333"/>
                <w:kern w:val="0"/>
                <w:sz w:val="24"/>
                <w:szCs w:val="24"/>
              </w:rPr>
            </w:pPr>
            <w:r>
              <w:rPr>
                <w:rFonts w:hint="eastAsia" w:ascii="Times New Roman" w:hAnsi="Times New Roman"/>
                <w:color w:val="333333"/>
                <w:kern w:val="0"/>
                <w:sz w:val="24"/>
                <w:szCs w:val="24"/>
              </w:rPr>
              <w:t>2、上海欣锐</w:t>
            </w:r>
          </w:p>
        </w:tc>
        <w:tc>
          <w:tcPr>
            <w:tcW w:w="5588" w:type="dxa"/>
            <w:vAlign w:val="center"/>
          </w:tcPr>
          <w:p>
            <w:pPr>
              <w:jc w:val="left"/>
              <w:rPr>
                <w:rFonts w:ascii="Times New Roman" w:hAnsi="Times New Roman"/>
                <w:color w:val="333333"/>
                <w:kern w:val="0"/>
                <w:sz w:val="24"/>
                <w:szCs w:val="24"/>
                <w:lang w:eastAsia="zh-Hans"/>
              </w:rPr>
            </w:pPr>
            <w:r>
              <w:rPr>
                <w:rFonts w:hint="eastAsia" w:ascii="Times New Roman" w:hAnsi="Times New Roman"/>
                <w:color w:val="333333"/>
                <w:kern w:val="0"/>
                <w:sz w:val="24"/>
                <w:szCs w:val="24"/>
              </w:rPr>
              <w:t>上海欣锐</w:t>
            </w:r>
            <w:r>
              <w:rPr>
                <w:rFonts w:ascii="Times New Roman" w:hAnsi="Times New Roman"/>
                <w:color w:val="333333"/>
                <w:kern w:val="0"/>
                <w:sz w:val="24"/>
                <w:szCs w:val="24"/>
              </w:rPr>
              <w:t>于20</w:t>
            </w:r>
            <w:r>
              <w:rPr>
                <w:rFonts w:hint="eastAsia" w:ascii="Times New Roman" w:hAnsi="Times New Roman"/>
                <w:color w:val="333333"/>
                <w:kern w:val="0"/>
                <w:sz w:val="24"/>
                <w:szCs w:val="24"/>
              </w:rPr>
              <w:t>16</w:t>
            </w:r>
            <w:r>
              <w:rPr>
                <w:rFonts w:ascii="Times New Roman" w:hAnsi="Times New Roman"/>
                <w:color w:val="333333"/>
                <w:kern w:val="0"/>
                <w:sz w:val="24"/>
                <w:szCs w:val="24"/>
              </w:rPr>
              <w:t>年成立于</w:t>
            </w:r>
            <w:r>
              <w:rPr>
                <w:rFonts w:hint="eastAsia" w:ascii="Times New Roman" w:hAnsi="Times New Roman"/>
                <w:color w:val="333333"/>
                <w:kern w:val="0"/>
                <w:sz w:val="24"/>
                <w:szCs w:val="24"/>
              </w:rPr>
              <w:t>上海市</w:t>
            </w:r>
            <w:r>
              <w:rPr>
                <w:rFonts w:ascii="Times New Roman" w:hAnsi="Times New Roman"/>
                <w:color w:val="333333"/>
                <w:kern w:val="0"/>
                <w:sz w:val="24"/>
                <w:szCs w:val="24"/>
              </w:rPr>
              <w:t>，</w:t>
            </w:r>
            <w:r>
              <w:rPr>
                <w:rFonts w:hint="eastAsia" w:ascii="Times New Roman" w:hAnsi="Times New Roman"/>
                <w:color w:val="333333"/>
                <w:kern w:val="0"/>
                <w:sz w:val="24"/>
                <w:szCs w:val="24"/>
              </w:rPr>
              <w:t>主营</w:t>
            </w:r>
            <w:r>
              <w:rPr>
                <w:rFonts w:ascii="Times New Roman" w:hAnsi="Times New Roman"/>
                <w:color w:val="333333"/>
                <w:kern w:val="0"/>
                <w:sz w:val="24"/>
                <w:szCs w:val="24"/>
                <w:lang w:eastAsia="zh-Hans"/>
              </w:rPr>
              <w:t>业务</w:t>
            </w:r>
            <w:r>
              <w:rPr>
                <w:rFonts w:hint="eastAsia" w:ascii="Times New Roman" w:hAnsi="Times New Roman"/>
                <w:color w:val="333333"/>
                <w:kern w:val="0"/>
                <w:sz w:val="24"/>
                <w:szCs w:val="24"/>
              </w:rPr>
              <w:t>为</w:t>
            </w:r>
            <w:r>
              <w:rPr>
                <w:rFonts w:ascii="Times New Roman" w:hAnsi="Times New Roman"/>
                <w:color w:val="333333"/>
                <w:kern w:val="0"/>
                <w:sz w:val="24"/>
                <w:szCs w:val="24"/>
                <w:lang w:eastAsia="zh-Hans"/>
              </w:rPr>
              <w:t>研发、生产和销售车载电源集成产品、电动车车载充电机、电动汽车车用 DC/DC 变换器、氢能与燃料电池汽车专用产品 DCF、大功率充电产品等，并提供技术开发服务。</w:t>
            </w:r>
          </w:p>
          <w:p>
            <w:pPr>
              <w:jc w:val="left"/>
              <w:rPr>
                <w:rFonts w:ascii="Times New Roman" w:hAnsi="Times New Roman"/>
                <w:color w:val="333333"/>
                <w:kern w:val="0"/>
                <w:sz w:val="24"/>
                <w:szCs w:val="24"/>
              </w:rPr>
            </w:pPr>
            <w:r>
              <w:rPr>
                <w:rFonts w:hint="eastAsia" w:ascii="Times New Roman" w:hAnsi="Times New Roman"/>
                <w:color w:val="333333"/>
                <w:kern w:val="0"/>
                <w:sz w:val="24"/>
                <w:szCs w:val="24"/>
              </w:rPr>
              <w:t>上海欣锐</w:t>
            </w:r>
            <w:r>
              <w:rPr>
                <w:rFonts w:ascii="Times New Roman" w:hAnsi="Times New Roman"/>
                <w:color w:val="333333"/>
                <w:kern w:val="0"/>
                <w:sz w:val="24"/>
                <w:szCs w:val="24"/>
              </w:rPr>
              <w:t>的最终控制人</w:t>
            </w:r>
            <w:r>
              <w:rPr>
                <w:rFonts w:hint="eastAsia" w:ascii="Times New Roman" w:hAnsi="Times New Roman"/>
                <w:color w:val="333333"/>
                <w:kern w:val="0"/>
                <w:sz w:val="24"/>
                <w:szCs w:val="24"/>
              </w:rPr>
              <w:t>为自然人</w:t>
            </w:r>
            <w:r>
              <w:rPr>
                <w:rFonts w:ascii="Times New Roman" w:hAnsi="Times New Roman"/>
                <w:color w:val="333333"/>
                <w:kern w:val="0"/>
                <w:sz w:val="24"/>
                <w:szCs w:val="24"/>
              </w:rPr>
              <w:t>，</w:t>
            </w:r>
            <w:r>
              <w:rPr>
                <w:rFonts w:hint="eastAsia" w:ascii="Times New Roman" w:hAnsi="Times New Roman"/>
                <w:color w:val="333333"/>
                <w:kern w:val="0"/>
                <w:sz w:val="24"/>
                <w:szCs w:val="24"/>
              </w:rPr>
              <w:t>主要通过上海欣锐从事相关业务。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242" w:type="dxa"/>
            <w:vMerge w:val="restart"/>
            <w:shd w:val="clear" w:color="auto" w:fill="D9D9D9"/>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t>简易案件理由（可以单选，也可以多选）</w:t>
            </w:r>
          </w:p>
        </w:tc>
        <w:tc>
          <w:tcPr>
            <w:tcW w:w="7028" w:type="dxa"/>
            <w:gridSpan w:val="2"/>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sym w:font="Wingdings" w:char="00A8"/>
            </w:r>
            <w:r>
              <w:rPr>
                <w:rFonts w:ascii="Times New Roman" w:hAnsi="Times New Roman"/>
                <w:color w:val="333333"/>
                <w:kern w:val="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242" w:type="dxa"/>
            <w:vMerge w:val="continue"/>
            <w:shd w:val="clear" w:color="auto" w:fill="D9D9D9"/>
            <w:vAlign w:val="center"/>
          </w:tcPr>
          <w:p>
            <w:pPr>
              <w:jc w:val="left"/>
              <w:rPr>
                <w:rFonts w:ascii="Times New Roman" w:hAnsi="Times New Roman"/>
                <w:color w:val="333333"/>
                <w:kern w:val="0"/>
                <w:sz w:val="24"/>
                <w:szCs w:val="24"/>
              </w:rPr>
            </w:pPr>
          </w:p>
        </w:tc>
        <w:tc>
          <w:tcPr>
            <w:tcW w:w="7028" w:type="dxa"/>
            <w:gridSpan w:val="2"/>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sym w:font="Wingdings" w:char="00A8"/>
            </w:r>
            <w:r>
              <w:rPr>
                <w:rFonts w:ascii="Times New Roman" w:hAnsi="Times New Roman"/>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242" w:type="dxa"/>
            <w:vMerge w:val="continue"/>
            <w:shd w:val="clear" w:color="auto" w:fill="D9D9D9"/>
            <w:vAlign w:val="center"/>
          </w:tcPr>
          <w:p>
            <w:pPr>
              <w:jc w:val="left"/>
              <w:rPr>
                <w:rFonts w:ascii="Times New Roman" w:hAnsi="Times New Roman"/>
                <w:color w:val="333333"/>
                <w:kern w:val="0"/>
                <w:sz w:val="24"/>
                <w:szCs w:val="24"/>
              </w:rPr>
            </w:pPr>
          </w:p>
        </w:tc>
        <w:tc>
          <w:tcPr>
            <w:tcW w:w="7028" w:type="dxa"/>
            <w:gridSpan w:val="2"/>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sym w:font="Wingdings" w:char="00FE"/>
            </w:r>
            <w:r>
              <w:rPr>
                <w:rFonts w:ascii="Times New Roman" w:hAnsi="Times New Roman"/>
                <w:color w:val="333333"/>
                <w:kern w:val="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242" w:type="dxa"/>
            <w:vMerge w:val="continue"/>
            <w:shd w:val="clear" w:color="auto" w:fill="D9D9D9"/>
            <w:vAlign w:val="center"/>
          </w:tcPr>
          <w:p>
            <w:pPr>
              <w:jc w:val="left"/>
              <w:rPr>
                <w:rFonts w:ascii="Times New Roman" w:hAnsi="Times New Roman"/>
                <w:color w:val="333333"/>
                <w:kern w:val="0"/>
                <w:sz w:val="24"/>
                <w:szCs w:val="24"/>
              </w:rPr>
            </w:pPr>
          </w:p>
        </w:tc>
        <w:tc>
          <w:tcPr>
            <w:tcW w:w="7028" w:type="dxa"/>
            <w:gridSpan w:val="2"/>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sym w:font="Wingdings" w:char="00A8"/>
            </w:r>
            <w:r>
              <w:rPr>
                <w:rFonts w:ascii="Times New Roman" w:hAnsi="Times New Roman"/>
                <w:color w:val="333333"/>
                <w:kern w:val="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242" w:type="dxa"/>
            <w:vMerge w:val="continue"/>
            <w:shd w:val="clear" w:color="auto" w:fill="D9D9D9"/>
            <w:vAlign w:val="center"/>
          </w:tcPr>
          <w:p>
            <w:pPr>
              <w:jc w:val="left"/>
              <w:rPr>
                <w:rFonts w:ascii="Times New Roman" w:hAnsi="Times New Roman"/>
                <w:color w:val="333333"/>
                <w:kern w:val="0"/>
                <w:sz w:val="24"/>
                <w:szCs w:val="24"/>
              </w:rPr>
            </w:pPr>
          </w:p>
        </w:tc>
        <w:tc>
          <w:tcPr>
            <w:tcW w:w="7028" w:type="dxa"/>
            <w:gridSpan w:val="2"/>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sym w:font="Wingdings" w:char="00A8"/>
            </w:r>
            <w:r>
              <w:rPr>
                <w:rFonts w:ascii="Times New Roman" w:hAnsi="Times New Roman"/>
                <w:color w:val="333333"/>
                <w:kern w:val="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242" w:type="dxa"/>
            <w:vMerge w:val="continue"/>
            <w:shd w:val="clear" w:color="auto" w:fill="D9D9D9"/>
            <w:vAlign w:val="center"/>
          </w:tcPr>
          <w:p>
            <w:pPr>
              <w:jc w:val="left"/>
              <w:rPr>
                <w:rFonts w:ascii="Times New Roman" w:hAnsi="Times New Roman"/>
                <w:color w:val="333333"/>
                <w:kern w:val="0"/>
                <w:sz w:val="24"/>
                <w:szCs w:val="24"/>
              </w:rPr>
            </w:pPr>
          </w:p>
        </w:tc>
        <w:tc>
          <w:tcPr>
            <w:tcW w:w="7028" w:type="dxa"/>
            <w:gridSpan w:val="2"/>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sym w:font="Wingdings" w:char="00A8"/>
            </w:r>
            <w:r>
              <w:rPr>
                <w:rFonts w:ascii="Times New Roman" w:hAnsi="Times New Roman"/>
                <w:color w:val="333333"/>
                <w:kern w:val="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shd w:val="clear" w:color="auto" w:fill="D9D9D9"/>
            <w:vAlign w:val="center"/>
          </w:tcPr>
          <w:p>
            <w:pPr>
              <w:jc w:val="left"/>
              <w:rPr>
                <w:rFonts w:ascii="Times New Roman" w:hAnsi="Times New Roman"/>
                <w:color w:val="333333"/>
                <w:kern w:val="0"/>
                <w:sz w:val="24"/>
                <w:szCs w:val="24"/>
              </w:rPr>
            </w:pPr>
            <w:r>
              <w:rPr>
                <w:rFonts w:ascii="Times New Roman" w:hAnsi="Times New Roman"/>
                <w:color w:val="333333"/>
                <w:kern w:val="0"/>
                <w:sz w:val="24"/>
                <w:szCs w:val="24"/>
              </w:rPr>
              <w:t>备注</w:t>
            </w:r>
          </w:p>
        </w:tc>
        <w:tc>
          <w:tcPr>
            <w:tcW w:w="7028" w:type="dxa"/>
            <w:gridSpan w:val="2"/>
            <w:vAlign w:val="center"/>
          </w:tcPr>
          <w:p>
            <w:pPr>
              <w:jc w:val="left"/>
              <w:rPr>
                <w:rFonts w:ascii="Times New Roman" w:hAnsi="Times New Roman"/>
                <w:b/>
                <w:bCs/>
                <w:color w:val="333333"/>
                <w:kern w:val="0"/>
                <w:sz w:val="24"/>
                <w:szCs w:val="24"/>
              </w:rPr>
            </w:pPr>
            <w:r>
              <w:rPr>
                <w:rFonts w:hint="eastAsia" w:ascii="Times New Roman" w:hAnsi="Times New Roman"/>
                <w:b/>
                <w:bCs/>
                <w:color w:val="333333"/>
                <w:kern w:val="0"/>
                <w:sz w:val="24"/>
                <w:szCs w:val="24"/>
              </w:rPr>
              <w:t>相邻市场</w:t>
            </w:r>
            <w:r>
              <w:rPr>
                <w:rFonts w:ascii="Times New Roman" w:hAnsi="Times New Roman"/>
                <w:b/>
                <w:bCs/>
                <w:color w:val="333333"/>
                <w:kern w:val="0"/>
                <w:sz w:val="24"/>
                <w:szCs w:val="24"/>
              </w:rPr>
              <w:t>：</w:t>
            </w:r>
          </w:p>
          <w:p>
            <w:pPr>
              <w:jc w:val="left"/>
              <w:rPr>
                <w:rFonts w:ascii="Times New Roman" w:hAnsi="Times New Roman"/>
                <w:color w:val="333333"/>
                <w:kern w:val="0"/>
                <w:sz w:val="24"/>
                <w:szCs w:val="24"/>
              </w:rPr>
            </w:pPr>
            <w:bookmarkStart w:id="5" w:name="OLE_LINK5"/>
            <w:r>
              <w:rPr>
                <w:rFonts w:hint="eastAsia" w:ascii="Times New Roman" w:hAnsi="Times New Roman"/>
                <w:color w:val="333333"/>
                <w:kern w:val="0"/>
                <w:sz w:val="24"/>
                <w:szCs w:val="24"/>
              </w:rPr>
              <w:t>2023年</w:t>
            </w:r>
            <w:bookmarkStart w:id="6" w:name="OLE_LINK11"/>
            <w:r>
              <w:rPr>
                <w:rFonts w:hint="eastAsia" w:ascii="Times New Roman" w:hAnsi="Times New Roman"/>
                <w:color w:val="333333"/>
                <w:kern w:val="0"/>
                <w:sz w:val="24"/>
                <w:szCs w:val="24"/>
              </w:rPr>
              <w:t>中国境内</w:t>
            </w:r>
            <w:bookmarkStart w:id="7" w:name="OLE_LINK6"/>
            <w:r>
              <w:rPr>
                <w:rFonts w:hint="eastAsia" w:ascii="Times New Roman" w:hAnsi="Times New Roman"/>
                <w:color w:val="333333"/>
                <w:kern w:val="0"/>
                <w:sz w:val="24"/>
                <w:szCs w:val="24"/>
              </w:rPr>
              <w:t>新能源乘用车</w:t>
            </w:r>
            <w:bookmarkEnd w:id="7"/>
            <w:r>
              <w:rPr>
                <w:rFonts w:hint="eastAsia" w:ascii="Times New Roman" w:hAnsi="Times New Roman"/>
                <w:color w:val="333333"/>
                <w:kern w:val="0"/>
                <w:sz w:val="24"/>
                <w:szCs w:val="24"/>
              </w:rPr>
              <w:t>驱动电机市场</w:t>
            </w:r>
            <w:bookmarkEnd w:id="6"/>
          </w:p>
          <w:p>
            <w:pPr>
              <w:jc w:val="left"/>
              <w:rPr>
                <w:rFonts w:ascii="Times New Roman" w:hAnsi="Times New Roman"/>
                <w:color w:val="333333"/>
                <w:kern w:val="0"/>
                <w:sz w:val="24"/>
                <w:szCs w:val="24"/>
              </w:rPr>
            </w:pPr>
            <w:r>
              <w:rPr>
                <w:rFonts w:hint="eastAsia" w:ascii="Times New Roman" w:hAnsi="Times New Roman"/>
                <w:color w:val="333333"/>
                <w:kern w:val="0"/>
                <w:sz w:val="24"/>
                <w:szCs w:val="24"/>
              </w:rPr>
              <w:t>上海汽车电驱动：0-5%</w:t>
            </w:r>
          </w:p>
          <w:p>
            <w:pPr>
              <w:jc w:val="left"/>
              <w:rPr>
                <w:rFonts w:ascii="Times New Roman" w:hAnsi="Times New Roman"/>
                <w:color w:val="333333"/>
                <w:kern w:val="0"/>
                <w:sz w:val="24"/>
                <w:szCs w:val="24"/>
              </w:rPr>
            </w:pPr>
            <w:r>
              <w:rPr>
                <w:rFonts w:ascii="Times New Roman" w:hAnsi="Times New Roman"/>
                <w:color w:val="333333"/>
                <w:kern w:val="0"/>
                <w:sz w:val="24"/>
                <w:szCs w:val="24"/>
              </w:rPr>
              <w:t>2023年中国境内新能源乘用车驱动电机控制器市场</w:t>
            </w:r>
          </w:p>
          <w:p>
            <w:pPr>
              <w:jc w:val="left"/>
              <w:rPr>
                <w:rFonts w:ascii="Times New Roman" w:hAnsi="Times New Roman"/>
                <w:color w:val="333333"/>
                <w:kern w:val="0"/>
                <w:sz w:val="24"/>
                <w:szCs w:val="24"/>
              </w:rPr>
            </w:pPr>
            <w:r>
              <w:rPr>
                <w:rFonts w:hint="eastAsia" w:ascii="Times New Roman" w:hAnsi="Times New Roman"/>
                <w:color w:val="333333"/>
                <w:kern w:val="0"/>
                <w:sz w:val="24"/>
                <w:szCs w:val="24"/>
              </w:rPr>
              <w:t>上海汽车电驱动：0-5%</w:t>
            </w:r>
          </w:p>
          <w:p>
            <w:pPr>
              <w:jc w:val="left"/>
              <w:rPr>
                <w:rFonts w:ascii="Times New Roman" w:hAnsi="Times New Roman"/>
                <w:color w:val="333333"/>
                <w:kern w:val="0"/>
                <w:sz w:val="24"/>
                <w:szCs w:val="24"/>
              </w:rPr>
            </w:pPr>
            <w:r>
              <w:rPr>
                <w:rFonts w:ascii="Times New Roman" w:hAnsi="Times New Roman"/>
                <w:color w:val="333333"/>
                <w:kern w:val="0"/>
                <w:sz w:val="24"/>
                <w:szCs w:val="24"/>
              </w:rPr>
              <w:t>2023年中国境内新能源乘用车车载充电机市场</w:t>
            </w:r>
          </w:p>
          <w:p>
            <w:pPr>
              <w:jc w:val="left"/>
              <w:rPr>
                <w:rFonts w:ascii="Times New Roman" w:hAnsi="Times New Roman"/>
                <w:color w:val="333333"/>
                <w:kern w:val="0"/>
                <w:sz w:val="24"/>
                <w:szCs w:val="24"/>
              </w:rPr>
            </w:pPr>
            <w:r>
              <w:rPr>
                <w:rFonts w:ascii="Times New Roman" w:hAnsi="Times New Roman"/>
                <w:color w:val="333333"/>
                <w:kern w:val="0"/>
                <w:sz w:val="24"/>
                <w:szCs w:val="24"/>
              </w:rPr>
              <w:t>上海</w:t>
            </w:r>
            <w:r>
              <w:rPr>
                <w:rFonts w:hint="eastAsia" w:ascii="Times New Roman" w:hAnsi="Times New Roman"/>
                <w:color w:val="333333"/>
                <w:kern w:val="0"/>
                <w:sz w:val="24"/>
                <w:szCs w:val="24"/>
              </w:rPr>
              <w:t>欣锐：5-10%</w:t>
            </w:r>
          </w:p>
          <w:p>
            <w:pPr>
              <w:jc w:val="left"/>
              <w:rPr>
                <w:rFonts w:ascii="Times New Roman" w:hAnsi="Times New Roman"/>
                <w:color w:val="333333"/>
                <w:kern w:val="0"/>
                <w:sz w:val="24"/>
                <w:szCs w:val="24"/>
              </w:rPr>
            </w:pPr>
            <w:r>
              <w:rPr>
                <w:rFonts w:ascii="Times New Roman" w:hAnsi="Times New Roman"/>
                <w:color w:val="333333"/>
                <w:kern w:val="0"/>
                <w:sz w:val="24"/>
                <w:szCs w:val="24"/>
              </w:rPr>
              <w:t>2023年中国境内</w:t>
            </w:r>
            <w:bookmarkStart w:id="8" w:name="OLE_LINK8"/>
            <w:r>
              <w:rPr>
                <w:rFonts w:ascii="Times New Roman" w:hAnsi="Times New Roman"/>
                <w:color w:val="333333"/>
                <w:kern w:val="0"/>
                <w:sz w:val="24"/>
                <w:szCs w:val="24"/>
              </w:rPr>
              <w:t>新能源乘用车DC/DC变换器</w:t>
            </w:r>
            <w:bookmarkEnd w:id="8"/>
            <w:r>
              <w:rPr>
                <w:rFonts w:ascii="Times New Roman" w:hAnsi="Times New Roman"/>
                <w:color w:val="333333"/>
                <w:kern w:val="0"/>
                <w:sz w:val="24"/>
                <w:szCs w:val="24"/>
              </w:rPr>
              <w:t>市场</w:t>
            </w:r>
          </w:p>
          <w:bookmarkEnd w:id="5"/>
          <w:p>
            <w:pPr>
              <w:jc w:val="left"/>
              <w:rPr>
                <w:rFonts w:ascii="Times New Roman" w:hAnsi="Times New Roman"/>
                <w:color w:val="333333"/>
                <w:kern w:val="0"/>
                <w:sz w:val="24"/>
                <w:szCs w:val="24"/>
              </w:rPr>
            </w:pPr>
            <w:r>
              <w:rPr>
                <w:rFonts w:ascii="Times New Roman" w:hAnsi="Times New Roman"/>
                <w:color w:val="333333"/>
                <w:kern w:val="0"/>
                <w:sz w:val="24"/>
                <w:szCs w:val="24"/>
              </w:rPr>
              <w:t>上海欣锐</w:t>
            </w:r>
            <w:r>
              <w:rPr>
                <w:rFonts w:hint="eastAsia" w:ascii="Times New Roman" w:hAnsi="Times New Roman"/>
                <w:color w:val="333333"/>
                <w:kern w:val="0"/>
                <w:sz w:val="24"/>
                <w:szCs w:val="24"/>
              </w:rPr>
              <w:t>：5-10%</w:t>
            </w:r>
          </w:p>
        </w:tc>
      </w:tr>
    </w:tbl>
    <w:p>
      <w:pPr>
        <w:spacing w:line="300" w:lineRule="auto"/>
        <w:jc w:val="left"/>
        <w:rPr>
          <w:rFonts w:ascii="Times New Roman" w:hAnsi="Times New Roman"/>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圆B5"/>
    <w:panose1 w:val="02010600030101010101"/>
    <w:charset w:val="86"/>
    <w:family w:val="auto"/>
    <w:pitch w:val="default"/>
    <w:sig w:usb0="00000000" w:usb1="00000000" w:usb2="00000016" w:usb3="00000000" w:csb0="0004000F" w:csb1="00000000"/>
  </w:font>
  <w:font w:name="等线">
    <w:altName w:val="汉仪仿宋S"/>
    <w:panose1 w:val="00000000000000000000"/>
    <w:charset w:val="86"/>
    <w:family w:val="auto"/>
    <w:pitch w:val="default"/>
    <w:sig w:usb0="00000000" w:usb1="00000000" w:usb2="00000000" w:usb3="00000000" w:csb0="00000000" w:csb1="00000000"/>
  </w:font>
  <w:font w:name="等线">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方正黑体_GBK">
    <w:panose1 w:val="020000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
    <w:panose1 w:val="02000000000000000000"/>
    <w:charset w:val="86"/>
    <w:family w:val="auto"/>
    <w:pitch w:val="default"/>
    <w:sig w:usb0="00000001" w:usb1="08000000" w:usb2="00000000" w:usb3="00000000" w:csb0="00040000" w:csb1="00000000"/>
  </w:font>
  <w:font w:name="汉仪中圆B5">
    <w:panose1 w:val="02010600000101010101"/>
    <w:charset w:val="88"/>
    <w:family w:val="auto"/>
    <w:pitch w:val="default"/>
    <w:sig w:usb0="00000001" w:usb1="080E0800" w:usb2="00000002" w:usb3="00000000" w:csb0="00100000" w:csb1="00000000"/>
  </w:font>
  <w:font w:name="汉仪仿宋S">
    <w:panose1 w:val="00020600040101000101"/>
    <w:charset w:val="86"/>
    <w:family w:val="auto"/>
    <w:pitch w:val="default"/>
    <w:sig w:usb0="A00002BF" w:usb1="38CF7C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PAGE   \* MERGEFORMAT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r>
      <w:rPr>
        <w:rFonts w:ascii="Times New Roman" w:hAnsi="Times New Roman"/>
        <w:sz w:val="18"/>
        <w:szCs w:val="18"/>
      </w:rPr>
      <w:t xml:space="preserve"> / </w:t>
    </w:r>
    <w:r>
      <w:rPr>
        <w:rFonts w:ascii="Times New Roman" w:hAnsi="Times New Roman"/>
        <w:sz w:val="18"/>
        <w:szCs w:val="18"/>
      </w:rPr>
      <w:fldChar w:fldCharType="begin"/>
    </w:r>
    <w:r>
      <w:rPr>
        <w:rFonts w:ascii="Times New Roman" w:hAnsi="Times New Roman"/>
        <w:sz w:val="18"/>
        <w:szCs w:val="18"/>
      </w:rPr>
      <w:instrText xml:space="preserve"> NUMPAGES   \* MERGEFORMAT </w:instrText>
    </w:r>
    <w:r>
      <w:rPr>
        <w:rFonts w:ascii="Times New Roman" w:hAnsi="Times New Roman"/>
        <w:sz w:val="18"/>
        <w:szCs w:val="18"/>
      </w:rPr>
      <w:fldChar w:fldCharType="separate"/>
    </w:r>
    <w:r>
      <w:rPr>
        <w:rFonts w:ascii="Times New Roman" w:hAnsi="Times New Roman"/>
        <w:sz w:val="18"/>
        <w:szCs w:val="18"/>
      </w:rPr>
      <w:t>2</w:t>
    </w:r>
    <w:r>
      <w:rPr>
        <w:rFonts w:ascii="Times New Roman" w:hAnsi="Times New Roman"/>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yNmRhMzE0MjA2NThkYzczMTg0MTA2OTMzYWY3N2IifQ=="/>
  </w:docVars>
  <w:rsids>
    <w:rsidRoot w:val="00CB00DF"/>
    <w:rsid w:val="00004DCC"/>
    <w:rsid w:val="00014627"/>
    <w:rsid w:val="00037065"/>
    <w:rsid w:val="000408D4"/>
    <w:rsid w:val="000724B9"/>
    <w:rsid w:val="00090126"/>
    <w:rsid w:val="000C0FA4"/>
    <w:rsid w:val="000C1FC8"/>
    <w:rsid w:val="000D3380"/>
    <w:rsid w:val="000D7EBA"/>
    <w:rsid w:val="000F7281"/>
    <w:rsid w:val="001164CD"/>
    <w:rsid w:val="0013024F"/>
    <w:rsid w:val="00141FD1"/>
    <w:rsid w:val="001424AA"/>
    <w:rsid w:val="00155717"/>
    <w:rsid w:val="001837A3"/>
    <w:rsid w:val="001B2208"/>
    <w:rsid w:val="001C546C"/>
    <w:rsid w:val="00203F1E"/>
    <w:rsid w:val="00205436"/>
    <w:rsid w:val="00295CE7"/>
    <w:rsid w:val="002E06B5"/>
    <w:rsid w:val="002F5AF0"/>
    <w:rsid w:val="00300C75"/>
    <w:rsid w:val="00334266"/>
    <w:rsid w:val="003441AF"/>
    <w:rsid w:val="003966D8"/>
    <w:rsid w:val="003C0AEB"/>
    <w:rsid w:val="004118D9"/>
    <w:rsid w:val="004454BD"/>
    <w:rsid w:val="00476072"/>
    <w:rsid w:val="0048334E"/>
    <w:rsid w:val="004A795C"/>
    <w:rsid w:val="004C49DD"/>
    <w:rsid w:val="004F7688"/>
    <w:rsid w:val="005014ED"/>
    <w:rsid w:val="00543CE5"/>
    <w:rsid w:val="00576769"/>
    <w:rsid w:val="0058136C"/>
    <w:rsid w:val="005D22F2"/>
    <w:rsid w:val="005E4405"/>
    <w:rsid w:val="005F52C2"/>
    <w:rsid w:val="00602362"/>
    <w:rsid w:val="00632BB5"/>
    <w:rsid w:val="00635D2D"/>
    <w:rsid w:val="00637A8A"/>
    <w:rsid w:val="00643D06"/>
    <w:rsid w:val="006467D8"/>
    <w:rsid w:val="006768B6"/>
    <w:rsid w:val="0068591F"/>
    <w:rsid w:val="006A531B"/>
    <w:rsid w:val="006A60AA"/>
    <w:rsid w:val="006B0A8C"/>
    <w:rsid w:val="006B7413"/>
    <w:rsid w:val="006D3A34"/>
    <w:rsid w:val="006F7693"/>
    <w:rsid w:val="00710140"/>
    <w:rsid w:val="0073600A"/>
    <w:rsid w:val="00737C53"/>
    <w:rsid w:val="00750C04"/>
    <w:rsid w:val="00775A8F"/>
    <w:rsid w:val="00792998"/>
    <w:rsid w:val="007B22AD"/>
    <w:rsid w:val="007B3924"/>
    <w:rsid w:val="007B7E04"/>
    <w:rsid w:val="007D423A"/>
    <w:rsid w:val="007F0A0B"/>
    <w:rsid w:val="007F2275"/>
    <w:rsid w:val="008C386A"/>
    <w:rsid w:val="00915F0F"/>
    <w:rsid w:val="00942D8E"/>
    <w:rsid w:val="009529EC"/>
    <w:rsid w:val="009532DF"/>
    <w:rsid w:val="00987F54"/>
    <w:rsid w:val="00997019"/>
    <w:rsid w:val="009A5029"/>
    <w:rsid w:val="009D38D5"/>
    <w:rsid w:val="009D69FE"/>
    <w:rsid w:val="009E17B4"/>
    <w:rsid w:val="00A00AD7"/>
    <w:rsid w:val="00A53F26"/>
    <w:rsid w:val="00A75D12"/>
    <w:rsid w:val="00AA0CC5"/>
    <w:rsid w:val="00AA2524"/>
    <w:rsid w:val="00B16AFE"/>
    <w:rsid w:val="00B271AA"/>
    <w:rsid w:val="00B5115C"/>
    <w:rsid w:val="00B65DD5"/>
    <w:rsid w:val="00B96D6D"/>
    <w:rsid w:val="00BC7F29"/>
    <w:rsid w:val="00BD10B6"/>
    <w:rsid w:val="00BE105C"/>
    <w:rsid w:val="00C06EF0"/>
    <w:rsid w:val="00C07076"/>
    <w:rsid w:val="00C133F4"/>
    <w:rsid w:val="00C159D9"/>
    <w:rsid w:val="00C46A9E"/>
    <w:rsid w:val="00C81963"/>
    <w:rsid w:val="00C976BF"/>
    <w:rsid w:val="00CB00DF"/>
    <w:rsid w:val="00CD219A"/>
    <w:rsid w:val="00CF69CE"/>
    <w:rsid w:val="00D11B55"/>
    <w:rsid w:val="00D73C72"/>
    <w:rsid w:val="00DA1B89"/>
    <w:rsid w:val="00DA2808"/>
    <w:rsid w:val="00DC059C"/>
    <w:rsid w:val="00DC6498"/>
    <w:rsid w:val="00DE5C1E"/>
    <w:rsid w:val="00E0592B"/>
    <w:rsid w:val="00E16A2F"/>
    <w:rsid w:val="00E31738"/>
    <w:rsid w:val="00E4488B"/>
    <w:rsid w:val="00E4762F"/>
    <w:rsid w:val="00E479CE"/>
    <w:rsid w:val="00E47EAD"/>
    <w:rsid w:val="00E86786"/>
    <w:rsid w:val="00E9677C"/>
    <w:rsid w:val="00EA0383"/>
    <w:rsid w:val="00EA7D04"/>
    <w:rsid w:val="00EC16D8"/>
    <w:rsid w:val="00EC6F91"/>
    <w:rsid w:val="00ED2F80"/>
    <w:rsid w:val="00EE1499"/>
    <w:rsid w:val="00EF0F79"/>
    <w:rsid w:val="00EF5228"/>
    <w:rsid w:val="00F1624E"/>
    <w:rsid w:val="00F32F8A"/>
    <w:rsid w:val="00F3464F"/>
    <w:rsid w:val="00F40FF4"/>
    <w:rsid w:val="00F73C59"/>
    <w:rsid w:val="00F77F2C"/>
    <w:rsid w:val="00F810AA"/>
    <w:rsid w:val="00FA28F4"/>
    <w:rsid w:val="00FB43EC"/>
    <w:rsid w:val="00FB6B40"/>
    <w:rsid w:val="00FD243D"/>
    <w:rsid w:val="00FF3901"/>
    <w:rsid w:val="00FF6EC4"/>
    <w:rsid w:val="07582DD2"/>
    <w:rsid w:val="0ACD623F"/>
    <w:rsid w:val="0D363981"/>
    <w:rsid w:val="10D97CD5"/>
    <w:rsid w:val="140C15D1"/>
    <w:rsid w:val="1E1D5A5B"/>
    <w:rsid w:val="212F71FE"/>
    <w:rsid w:val="23A245C8"/>
    <w:rsid w:val="28DA09C7"/>
    <w:rsid w:val="2C0B6DC6"/>
    <w:rsid w:val="2FE96D0C"/>
    <w:rsid w:val="375C0B95"/>
    <w:rsid w:val="3A4359F6"/>
    <w:rsid w:val="3AD51D7A"/>
    <w:rsid w:val="3CFA123A"/>
    <w:rsid w:val="3D7C33C2"/>
    <w:rsid w:val="3DA5A109"/>
    <w:rsid w:val="3DAF79E0"/>
    <w:rsid w:val="3E3948A1"/>
    <w:rsid w:val="44C50FE3"/>
    <w:rsid w:val="467718F4"/>
    <w:rsid w:val="46E722AB"/>
    <w:rsid w:val="489824B9"/>
    <w:rsid w:val="4BB93789"/>
    <w:rsid w:val="4D5564BE"/>
    <w:rsid w:val="4EEA0D24"/>
    <w:rsid w:val="587B59B6"/>
    <w:rsid w:val="59471C07"/>
    <w:rsid w:val="5BE26208"/>
    <w:rsid w:val="5F3D09FC"/>
    <w:rsid w:val="62C5D575"/>
    <w:rsid w:val="67990B93"/>
    <w:rsid w:val="6CC03682"/>
    <w:rsid w:val="701139EA"/>
    <w:rsid w:val="72CC1337"/>
    <w:rsid w:val="7A7D6161"/>
    <w:rsid w:val="7D2708CA"/>
    <w:rsid w:val="7FF17C0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unhideWhenUsed/>
    <w:qFormat/>
    <w:uiPriority w:val="99"/>
    <w:rPr>
      <w:sz w:val="20"/>
      <w:szCs w:val="20"/>
    </w:r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pPr>
  </w:style>
  <w:style w:type="paragraph" w:styleId="5">
    <w:name w:val="header"/>
    <w:basedOn w:val="1"/>
    <w:link w:val="11"/>
    <w:unhideWhenUsed/>
    <w:qFormat/>
    <w:uiPriority w:val="99"/>
    <w:pPr>
      <w:tabs>
        <w:tab w:val="center" w:pos="4153"/>
        <w:tab w:val="right" w:pos="8306"/>
      </w:tabs>
    </w:pPr>
  </w:style>
  <w:style w:type="paragraph" w:styleId="6">
    <w:name w:val="annotation subject"/>
    <w:basedOn w:val="2"/>
    <w:next w:val="2"/>
    <w:link w:val="14"/>
    <w:semiHidden/>
    <w:unhideWhenUsed/>
    <w:qFormat/>
    <w:uiPriority w:val="99"/>
    <w:rPr>
      <w:b/>
      <w:bCs/>
    </w:rPr>
  </w:style>
  <w:style w:type="table" w:styleId="8">
    <w:name w:val="Table Grid"/>
    <w:basedOn w:val="7"/>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16"/>
      <w:szCs w:val="16"/>
    </w:rPr>
  </w:style>
  <w:style w:type="character" w:customStyle="1" w:styleId="11">
    <w:name w:val="页眉 字符"/>
    <w:basedOn w:val="9"/>
    <w:link w:val="5"/>
    <w:qFormat/>
    <w:uiPriority w:val="99"/>
    <w:rPr>
      <w:rFonts w:ascii="Calibri" w:hAnsi="Calibri" w:eastAsia="宋体" w:cs="Times New Roman"/>
    </w:rPr>
  </w:style>
  <w:style w:type="character" w:customStyle="1" w:styleId="12">
    <w:name w:val="页脚 字符"/>
    <w:basedOn w:val="9"/>
    <w:link w:val="4"/>
    <w:qFormat/>
    <w:uiPriority w:val="99"/>
    <w:rPr>
      <w:rFonts w:ascii="Calibri" w:hAnsi="Calibri" w:eastAsia="宋体" w:cs="Times New Roman"/>
    </w:rPr>
  </w:style>
  <w:style w:type="character" w:customStyle="1" w:styleId="13">
    <w:name w:val="批注文字 字符"/>
    <w:basedOn w:val="9"/>
    <w:link w:val="2"/>
    <w:qFormat/>
    <w:uiPriority w:val="99"/>
    <w:rPr>
      <w:rFonts w:ascii="Calibri" w:hAnsi="Calibri" w:eastAsia="宋体" w:cs="Times New Roman"/>
      <w:sz w:val="20"/>
      <w:szCs w:val="20"/>
    </w:rPr>
  </w:style>
  <w:style w:type="character" w:customStyle="1" w:styleId="14">
    <w:name w:val="批注主题 字符"/>
    <w:basedOn w:val="13"/>
    <w:link w:val="6"/>
    <w:semiHidden/>
    <w:qFormat/>
    <w:uiPriority w:val="99"/>
    <w:rPr>
      <w:rFonts w:ascii="Calibri" w:hAnsi="Calibri" w:eastAsia="宋体" w:cs="Times New Roman"/>
      <w:b/>
      <w:bCs/>
      <w:sz w:val="20"/>
      <w:szCs w:val="20"/>
    </w:rPr>
  </w:style>
  <w:style w:type="character" w:customStyle="1" w:styleId="15">
    <w:name w:val="批注框文本 字符"/>
    <w:basedOn w:val="9"/>
    <w:link w:val="3"/>
    <w:semiHidden/>
    <w:qFormat/>
    <w:uiPriority w:val="99"/>
    <w:rPr>
      <w:rFonts w:ascii="Calibri" w:hAnsi="Calibri" w:eastAsia="宋体" w:cs="Times New Roman"/>
      <w:sz w:val="18"/>
      <w:szCs w:val="18"/>
    </w:rPr>
  </w:style>
  <w:style w:type="paragraph" w:customStyle="1" w:styleId="16">
    <w:name w:val="修订1"/>
    <w:hidden/>
    <w:semiHidden/>
    <w:qFormat/>
    <w:uiPriority w:val="99"/>
    <w:rPr>
      <w:rFonts w:ascii="Calibri" w:hAnsi="Calibri" w:eastAsia="宋体" w:cs="Times New Roman"/>
      <w:kern w:val="2"/>
      <w:sz w:val="21"/>
      <w:szCs w:val="22"/>
      <w:lang w:val="en-US" w:eastAsia="zh-CN" w:bidi="ar-SA"/>
    </w:rPr>
  </w:style>
  <w:style w:type="paragraph" w:customStyle="1" w:styleId="17">
    <w:name w:val="Revision"/>
    <w:hidden/>
    <w:semiHidden/>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144</Words>
  <Characters>824</Characters>
  <Lines>6</Lines>
  <Paragraphs>1</Paragraphs>
  <TotalTime>5</TotalTime>
  <ScaleCrop>false</ScaleCrop>
  <LinksUpToDate>false</LinksUpToDate>
  <CharactersWithSpaces>967</CharactersWithSpaces>
  <Application>WPS Office_11.8.2.10337_F1E327BC-269C-435d-A152-05C5408002CA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2024-07-09T14:58:00Z</dcterms:created>
  <dc:creator>孙琪然</dc:creator>
  <cp:lastModifiedBy>scjgj</cp:lastModifiedBy>
  <cp:lastPrinted>2024-07-09T15:01:57Z</cp:lastPrinted>
  <dcterms:modified xsi:type="dcterms:W3CDTF">2024-07-09T15:02:20Z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y fmtid="{D5CDD505-2E9C-101B-9397-08002B2CF9AE}" pid="3" name="ICV">
    <vt:lpwstr>66C9D2902215434B959C238B4BCEFE2E_13</vt:lpwstr>
  </property>
</Properties>
</file>