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黑体" w:cs="Times New Roman"/>
          <w:bCs/>
          <w:kern w:val="0"/>
          <w:sz w:val="44"/>
          <w:szCs w:val="44"/>
          <w:lang w:val="en-GB" w:bidi="ar-AE"/>
        </w:rPr>
      </w:pPr>
      <w:bookmarkStart w:id="0" w:name="_GoBack"/>
      <w:bookmarkEnd w:id="0"/>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p>
    <w:tbl>
      <w:tblPr>
        <w:tblStyle w:val="10"/>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940" w:type="dxa"/>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案件名称</w:t>
            </w:r>
          </w:p>
        </w:tc>
        <w:tc>
          <w:tcPr>
            <w:tcW w:w="7700" w:type="dxa"/>
            <w:gridSpan w:val="2"/>
            <w:shd w:val="clear" w:color="auto" w:fill="auto"/>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kern w:val="2"/>
                <w:sz w:val="22"/>
                <w:szCs w:val="22"/>
              </w:rPr>
              <w:t>珠海大横琴安居投资有限公司收购广东世荣兆业股份有限公司股权案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jc w:val="center"/>
        </w:trPr>
        <w:tc>
          <w:tcPr>
            <w:tcW w:w="1940" w:type="dxa"/>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交易概况</w:t>
            </w:r>
          </w:p>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（限200字内）</w:t>
            </w:r>
          </w:p>
        </w:tc>
        <w:tc>
          <w:tcPr>
            <w:tcW w:w="7700" w:type="dxa"/>
            <w:gridSpan w:val="2"/>
            <w:vAlign w:val="center"/>
          </w:tcPr>
          <w:p>
            <w:pPr>
              <w:adjustRightInd w:val="0"/>
              <w:snapToGrid w:val="0"/>
              <w:rPr>
                <w:rFonts w:hint="default" w:ascii="Times New Roman" w:hAnsi="Times New Roman" w:cs="Times New Roman"/>
                <w:bCs/>
                <w:color w:val="000000"/>
                <w:szCs w:val="21"/>
              </w:rPr>
            </w:pPr>
            <w:r>
              <w:rPr>
                <w:rFonts w:hint="default" w:ascii="Times New Roman" w:hAnsi="Times New Roman" w:eastAsia="宋体" w:cs="Times New Roman"/>
                <w:bCs/>
                <w:color w:val="000000"/>
                <w:kern w:val="2"/>
                <w:sz w:val="22"/>
                <w:szCs w:val="22"/>
              </w:rPr>
              <w:t>珠海大横琴安居投资有限公司</w:t>
            </w:r>
            <w:r>
              <w:rPr>
                <w:rFonts w:hint="default" w:eastAsia="宋体" w:cs="Times New Roman"/>
                <w:bCs/>
                <w:color w:val="000000"/>
                <w:kern w:val="2"/>
                <w:sz w:val="22"/>
                <w:szCs w:val="22"/>
                <w:lang w:eastAsia="zh-CN"/>
              </w:rPr>
              <w:t>（“</w:t>
            </w:r>
            <w:r>
              <w:rPr>
                <w:rFonts w:hint="default" w:ascii="Times New Roman" w:hAnsi="Times New Roman" w:eastAsia="宋体"/>
                <w:bCs/>
                <w:color w:val="000000"/>
                <w:sz w:val="22"/>
                <w:szCs w:val="22"/>
                <w:lang w:eastAsia="zh-CN"/>
              </w:rPr>
              <w:t>横琴安居</w:t>
            </w:r>
            <w:r>
              <w:rPr>
                <w:rFonts w:hint="default" w:eastAsia="宋体" w:cs="Times New Roman"/>
                <w:bCs/>
                <w:color w:val="000000"/>
                <w:kern w:val="2"/>
                <w:sz w:val="22"/>
                <w:szCs w:val="22"/>
                <w:lang w:eastAsia="zh-CN"/>
              </w:rPr>
              <w:t>”）</w:t>
            </w:r>
            <w:r>
              <w:rPr>
                <w:rFonts w:hint="default" w:ascii="Times New Roman" w:hAnsi="Times New Roman" w:eastAsia="宋体"/>
                <w:bCs/>
                <w:color w:val="000000"/>
                <w:sz w:val="22"/>
                <w:szCs w:val="22"/>
                <w:lang w:eastAsia="zh-CN"/>
              </w:rPr>
              <w:t>通过</w:t>
            </w:r>
            <w:r>
              <w:rPr>
                <w:rFonts w:hint="default" w:ascii="Times New Roman" w:hAnsi="Times New Roman" w:eastAsia="宋体"/>
                <w:bCs/>
                <w:color w:val="000000"/>
                <w:sz w:val="22"/>
                <w:szCs w:val="22"/>
              </w:rPr>
              <w:t>京东网络司法拍卖平台</w:t>
            </w:r>
            <w:r>
              <w:rPr>
                <w:rFonts w:hint="default" w:ascii="Times New Roman" w:hAnsi="Times New Roman" w:eastAsia="宋体"/>
                <w:bCs/>
                <w:color w:val="000000"/>
                <w:sz w:val="22"/>
                <w:szCs w:val="22"/>
                <w:lang w:eastAsia="zh-CN"/>
              </w:rPr>
              <w:t>竞得</w:t>
            </w:r>
            <w:r>
              <w:rPr>
                <w:rFonts w:hint="default" w:ascii="Times New Roman" w:hAnsi="Times New Roman" w:eastAsia="宋体" w:cs="Times New Roman"/>
                <w:bCs/>
                <w:color w:val="000000"/>
                <w:kern w:val="2"/>
                <w:sz w:val="22"/>
                <w:szCs w:val="22"/>
              </w:rPr>
              <w:t>广东世荣兆业股份有限公司</w:t>
            </w:r>
            <w:r>
              <w:rPr>
                <w:rFonts w:hint="default" w:eastAsia="宋体" w:cs="Times New Roman"/>
                <w:bCs/>
                <w:color w:val="000000"/>
                <w:kern w:val="2"/>
                <w:sz w:val="22"/>
                <w:szCs w:val="22"/>
                <w:lang w:eastAsia="zh-CN"/>
              </w:rPr>
              <w:t>（“</w:t>
            </w:r>
            <w:r>
              <w:rPr>
                <w:rFonts w:hint="default" w:ascii="Times New Roman" w:hAnsi="Times New Roman" w:eastAsia="宋体"/>
                <w:bCs/>
                <w:color w:val="000000"/>
                <w:sz w:val="22"/>
                <w:szCs w:val="22"/>
              </w:rPr>
              <w:t>世荣兆业</w:t>
            </w:r>
            <w:r>
              <w:rPr>
                <w:rFonts w:hint="default" w:eastAsia="宋体" w:cs="Times New Roman"/>
                <w:bCs/>
                <w:color w:val="000000"/>
                <w:kern w:val="2"/>
                <w:sz w:val="22"/>
                <w:szCs w:val="22"/>
                <w:lang w:eastAsia="zh-CN"/>
              </w:rPr>
              <w:t>”）</w:t>
            </w:r>
            <w:r>
              <w:rPr>
                <w:rFonts w:ascii="Times New Roman" w:hAnsi="Times New Roman" w:eastAsia="宋体"/>
                <w:bCs/>
                <w:color w:val="000000"/>
                <w:sz w:val="22"/>
                <w:szCs w:val="22"/>
              </w:rPr>
              <w:t>51.00%</w:t>
            </w:r>
            <w:r>
              <w:rPr>
                <w:rFonts w:hint="default" w:eastAsia="宋体"/>
                <w:bCs/>
                <w:color w:val="000000"/>
                <w:sz w:val="22"/>
                <w:szCs w:val="22"/>
                <w:lang w:eastAsia="zh-CN"/>
              </w:rPr>
              <w:t>的</w:t>
            </w:r>
            <w:r>
              <w:rPr>
                <w:rFonts w:hint="default" w:ascii="Times New Roman" w:hAnsi="Times New Roman" w:eastAsia="宋体"/>
                <w:bCs/>
                <w:color w:val="000000"/>
                <w:sz w:val="22"/>
                <w:szCs w:val="22"/>
                <w:lang w:eastAsia="zh-CN"/>
              </w:rPr>
              <w:t>股权</w:t>
            </w:r>
            <w:r>
              <w:rPr>
                <w:rFonts w:hint="default" w:ascii="Times New Roman" w:hAnsi="Times New Roman" w:eastAsia="宋体"/>
                <w:bCs/>
                <w:color w:val="000000"/>
                <w:sz w:val="22"/>
                <w:szCs w:val="22"/>
              </w:rPr>
              <w:t>。世荣兆业</w:t>
            </w:r>
            <w:r>
              <w:rPr>
                <w:rFonts w:hint="default" w:ascii="Times New Roman" w:hAnsi="Times New Roman" w:eastAsia="宋体"/>
                <w:bCs/>
                <w:color w:val="000000"/>
                <w:sz w:val="22"/>
                <w:szCs w:val="22"/>
                <w:lang w:eastAsia="zh-CN"/>
              </w:rPr>
              <w:t>主要从事</w:t>
            </w:r>
            <w:r>
              <w:rPr>
                <w:rFonts w:hint="default" w:ascii="Times New Roman" w:hAnsi="Times New Roman" w:eastAsia="宋体"/>
                <w:bCs/>
                <w:color w:val="000000"/>
                <w:sz w:val="22"/>
                <w:szCs w:val="22"/>
              </w:rPr>
              <w:t>房地产开发经营</w:t>
            </w:r>
            <w:r>
              <w:rPr>
                <w:rFonts w:hint="default" w:ascii="Times New Roman" w:hAnsi="Times New Roman" w:eastAsia="宋体"/>
                <w:bCs/>
                <w:color w:val="000000"/>
                <w:sz w:val="22"/>
                <w:szCs w:val="22"/>
                <w:lang w:eastAsia="zh-CN"/>
              </w:rPr>
              <w:t>等业务</w:t>
            </w:r>
            <w:r>
              <w:rPr>
                <w:rFonts w:hint="default" w:ascii="Times New Roman" w:hAnsi="Times New Roman" w:eastAsia="宋体"/>
                <w:bCs/>
                <w:color w:val="000000"/>
                <w:sz w:val="22"/>
                <w:szCs w:val="22"/>
              </w:rPr>
              <w:t>。</w:t>
            </w:r>
            <w:r>
              <w:rPr>
                <w:rFonts w:hint="default" w:ascii="Times New Roman" w:hAnsi="Times New Roman" w:eastAsia="宋体"/>
                <w:bCs/>
                <w:color w:val="000000"/>
                <w:sz w:val="22"/>
                <w:szCs w:val="22"/>
                <w:lang w:eastAsia="zh-CN"/>
              </w:rPr>
              <w:t>交易前，</w:t>
            </w:r>
            <w:r>
              <w:rPr>
                <w:rFonts w:hint="default" w:ascii="Times New Roman" w:hAnsi="Times New Roman" w:eastAsia="宋体"/>
                <w:bCs/>
                <w:color w:val="000000"/>
                <w:sz w:val="22"/>
                <w:szCs w:val="22"/>
              </w:rPr>
              <w:t>梁社增</w:t>
            </w:r>
            <w:r>
              <w:rPr>
                <w:rFonts w:hint="default" w:ascii="Times New Roman" w:hAnsi="Times New Roman" w:eastAsia="宋体"/>
                <w:bCs/>
                <w:color w:val="000000"/>
                <w:sz w:val="22"/>
                <w:szCs w:val="22"/>
                <w:lang w:eastAsia="zh-CN"/>
              </w:rPr>
              <w:t>单独控制</w:t>
            </w:r>
            <w:r>
              <w:rPr>
                <w:rFonts w:hint="default" w:ascii="Times New Roman" w:hAnsi="Times New Roman" w:eastAsia="宋体"/>
                <w:bCs/>
                <w:color w:val="000000"/>
                <w:sz w:val="22"/>
                <w:szCs w:val="22"/>
              </w:rPr>
              <w:t>世荣兆业</w:t>
            </w:r>
            <w:r>
              <w:rPr>
                <w:rFonts w:hint="default" w:ascii="Times New Roman" w:hAnsi="Times New Roman" w:eastAsia="宋体"/>
                <w:bCs/>
                <w:color w:val="000000"/>
                <w:sz w:val="22"/>
                <w:szCs w:val="22"/>
                <w:lang w:eastAsia="zh-CN"/>
              </w:rPr>
              <w:t>。交易后，横琴安居单独控制</w:t>
            </w:r>
            <w:r>
              <w:rPr>
                <w:rFonts w:hint="default" w:ascii="Times New Roman" w:hAnsi="Times New Roman" w:eastAsia="宋体"/>
                <w:bCs/>
                <w:color w:val="000000"/>
                <w:sz w:val="22"/>
                <w:szCs w:val="22"/>
              </w:rPr>
              <w:t>世荣兆业</w:t>
            </w:r>
            <w:r>
              <w:rPr>
                <w:rFonts w:hint="default" w:ascii="Times New Roman" w:hAnsi="Times New Roman" w:eastAsia="宋体"/>
                <w:bCs/>
                <w:color w:val="000000"/>
                <w:sz w:val="22"/>
                <w:szCs w:val="22"/>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参与集中的</w:t>
            </w:r>
          </w:p>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经营者简介</w:t>
            </w:r>
          </w:p>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（每个限100</w:t>
            </w:r>
          </w:p>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字以内）</w:t>
            </w:r>
          </w:p>
        </w:tc>
        <w:tc>
          <w:tcPr>
            <w:tcW w:w="1607" w:type="dxa"/>
            <w:vAlign w:val="center"/>
          </w:tcPr>
          <w:p>
            <w:pPr>
              <w:pStyle w:val="5"/>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eastAsia="宋体" w:cs="Times New Roman"/>
                <w:bCs/>
                <w:color w:val="000000"/>
                <w:sz w:val="22"/>
                <w:szCs w:val="22"/>
                <w:lang w:bidi="ar-SA"/>
              </w:rPr>
              <w:t>1.</w:t>
            </w:r>
            <w:r>
              <w:rPr>
                <w:rFonts w:hint="default" w:cs="Times New Roman"/>
                <w:bCs/>
                <w:color w:val="000000"/>
                <w:sz w:val="22"/>
                <w:szCs w:val="22"/>
                <w:lang w:eastAsia="zh-CN" w:bidi="ar-SA"/>
              </w:rPr>
              <w:t>横琴安居</w:t>
            </w:r>
          </w:p>
        </w:tc>
        <w:tc>
          <w:tcPr>
            <w:tcW w:w="6093" w:type="dxa"/>
            <w:vAlign w:val="center"/>
          </w:tcPr>
          <w:p>
            <w:pPr>
              <w:widowControl/>
              <w:adjustRightInd w:val="0"/>
              <w:snapToGrid w:val="0"/>
              <w:jc w:val="left"/>
              <w:rPr>
                <w:rFonts w:hint="default" w:ascii="Times New Roman" w:hAnsi="Times New Roman" w:eastAsia="宋体" w:cs="Times New Roman"/>
                <w:b w:val="0"/>
                <w:bCs/>
                <w:color w:val="000000"/>
                <w:kern w:val="0"/>
                <w:sz w:val="22"/>
                <w:szCs w:val="22"/>
                <w:lang w:val="en-US" w:eastAsia="zh-CN" w:bidi="ar-AE"/>
              </w:rPr>
            </w:pPr>
            <w:r>
              <w:rPr>
                <w:rFonts w:hint="default" w:cs="Times New Roman"/>
                <w:b w:val="0"/>
                <w:bCs/>
                <w:color w:val="000000"/>
                <w:kern w:val="0"/>
                <w:sz w:val="22"/>
                <w:szCs w:val="22"/>
                <w:lang w:val="en-US" w:eastAsia="zh-CN" w:bidi="ar-AE"/>
              </w:rPr>
              <w:t>横琴安居</w:t>
            </w:r>
            <w:r>
              <w:rPr>
                <w:rFonts w:hint="default" w:ascii="Times New Roman" w:hAnsi="Times New Roman" w:eastAsia="宋体" w:cs="Times New Roman"/>
                <w:b w:val="0"/>
                <w:bCs/>
                <w:color w:val="000000"/>
                <w:kern w:val="0"/>
                <w:sz w:val="22"/>
                <w:szCs w:val="22"/>
                <w:lang w:val="en-US" w:eastAsia="zh-CN" w:bidi="ar-AE"/>
              </w:rPr>
              <w:t>于</w:t>
            </w:r>
            <w:r>
              <w:rPr>
                <w:rFonts w:hint="default" w:cs="Times New Roman"/>
                <w:b w:val="0"/>
                <w:bCs/>
                <w:color w:val="000000"/>
                <w:kern w:val="0"/>
                <w:sz w:val="22"/>
                <w:szCs w:val="22"/>
                <w:lang w:val="en-US" w:eastAsia="zh-CN" w:bidi="ar-AE"/>
              </w:rPr>
              <w:t>2019</w:t>
            </w:r>
            <w:r>
              <w:rPr>
                <w:rFonts w:hint="default" w:ascii="Times New Roman" w:hAnsi="Times New Roman" w:eastAsia="宋体" w:cs="Times New Roman"/>
                <w:b w:val="0"/>
                <w:bCs/>
                <w:color w:val="000000"/>
                <w:kern w:val="0"/>
                <w:sz w:val="22"/>
                <w:szCs w:val="22"/>
                <w:lang w:val="en-US" w:eastAsia="zh-CN" w:bidi="ar-AE"/>
              </w:rPr>
              <w:t>年</w:t>
            </w:r>
            <w:r>
              <w:rPr>
                <w:rFonts w:hint="default" w:cs="Times New Roman"/>
                <w:b w:val="0"/>
                <w:bCs/>
                <w:color w:val="000000"/>
                <w:kern w:val="0"/>
                <w:sz w:val="22"/>
                <w:szCs w:val="22"/>
                <w:lang w:val="en-US" w:eastAsia="zh-CN" w:bidi="ar-AE"/>
              </w:rPr>
              <w:t>12</w:t>
            </w:r>
            <w:r>
              <w:rPr>
                <w:rFonts w:hint="default" w:ascii="Times New Roman" w:hAnsi="Times New Roman" w:eastAsia="宋体" w:cs="Times New Roman"/>
                <w:b w:val="0"/>
                <w:bCs/>
                <w:color w:val="000000"/>
                <w:kern w:val="0"/>
                <w:sz w:val="22"/>
                <w:szCs w:val="22"/>
                <w:lang w:val="en-US" w:eastAsia="zh-CN" w:bidi="ar-AE"/>
              </w:rPr>
              <w:t>月3日成立于广东省，主要从事</w:t>
            </w:r>
            <w:r>
              <w:rPr>
                <w:rFonts w:hint="default" w:ascii="Times New Roman" w:hAnsi="Times New Roman" w:cs="Times New Roman"/>
                <w:bCs/>
                <w:color w:val="000000"/>
                <w:kern w:val="0"/>
                <w:sz w:val="22"/>
                <w:szCs w:val="22"/>
                <w:lang w:bidi="ar-AE"/>
              </w:rPr>
              <w:t>保障性住房运营管理和综合服务</w:t>
            </w:r>
            <w:r>
              <w:rPr>
                <w:rFonts w:hint="default" w:ascii="Times New Roman" w:hAnsi="Times New Roman" w:eastAsia="宋体" w:cs="Times New Roman"/>
                <w:b w:val="0"/>
                <w:bCs/>
                <w:color w:val="000000"/>
                <w:kern w:val="0"/>
                <w:sz w:val="22"/>
                <w:szCs w:val="22"/>
                <w:lang w:val="en-US" w:eastAsia="zh-CN" w:bidi="ar-AE"/>
              </w:rPr>
              <w:t>等业务。</w:t>
            </w:r>
          </w:p>
          <w:p>
            <w:pPr>
              <w:widowControl/>
              <w:adjustRightInd w:val="0"/>
              <w:snapToGrid w:val="0"/>
              <w:jc w:val="left"/>
              <w:rPr>
                <w:rFonts w:hint="default" w:ascii="Times New Roman" w:hAnsi="Times New Roman" w:eastAsia="宋体" w:cs="Times New Roman"/>
                <w:bCs/>
                <w:color w:val="000000"/>
                <w:sz w:val="22"/>
                <w:szCs w:val="22"/>
                <w:lang w:eastAsia="zh-CN"/>
              </w:rPr>
            </w:pPr>
            <w:r>
              <w:rPr>
                <w:rFonts w:hint="eastAsia" w:cs="Times New Roman"/>
                <w:b w:val="0"/>
                <w:bCs/>
                <w:color w:val="000000"/>
                <w:kern w:val="0"/>
                <w:sz w:val="22"/>
                <w:szCs w:val="22"/>
                <w:highlight w:val="none"/>
                <w:lang w:val="en-US" w:eastAsia="zh-CN" w:bidi="ar-AE"/>
              </w:rPr>
              <w:t>横琴安居</w:t>
            </w:r>
            <w:r>
              <w:rPr>
                <w:rFonts w:hint="default" w:ascii="Times New Roman" w:hAnsi="Times New Roman" w:eastAsia="宋体" w:cs="Times New Roman"/>
                <w:b w:val="0"/>
                <w:bCs/>
                <w:color w:val="000000"/>
                <w:kern w:val="0"/>
                <w:sz w:val="22"/>
                <w:szCs w:val="22"/>
                <w:lang w:val="en-US" w:eastAsia="zh-CN" w:bidi="ar-AE"/>
              </w:rPr>
              <w:t>最终控制人为</w:t>
            </w:r>
            <w:r>
              <w:rPr>
                <w:rFonts w:hint="default" w:ascii="Times New Roman" w:hAnsi="Times New Roman" w:cs="Times New Roman"/>
                <w:bCs/>
                <w:color w:val="000000"/>
                <w:kern w:val="0"/>
                <w:sz w:val="22"/>
                <w:szCs w:val="22"/>
                <w:lang w:bidi="ar-AE"/>
              </w:rPr>
              <w:t>珠海大横琴集团有限公司</w:t>
            </w:r>
            <w:r>
              <w:rPr>
                <w:rFonts w:hint="default" w:ascii="Times New Roman" w:hAnsi="Times New Roman" w:eastAsia="宋体" w:cs="Times New Roman"/>
                <w:b w:val="0"/>
                <w:bCs/>
                <w:color w:val="000000"/>
                <w:kern w:val="0"/>
                <w:sz w:val="22"/>
                <w:szCs w:val="22"/>
                <w:lang w:val="en-US" w:eastAsia="zh-CN" w:bidi="ar-AE"/>
              </w:rPr>
              <w:t>，主要从事</w:t>
            </w:r>
            <w:r>
              <w:rPr>
                <w:rFonts w:hint="default" w:ascii="Times New Roman" w:hAnsi="Times New Roman" w:cs="Times New Roman"/>
                <w:bCs/>
                <w:color w:val="000000"/>
                <w:kern w:val="0"/>
                <w:sz w:val="22"/>
                <w:szCs w:val="22"/>
                <w:lang w:bidi="ar-AE"/>
              </w:rPr>
              <w:t>房地产开发经营、非居住房地产租赁、商业综合体管理服务等</w:t>
            </w:r>
            <w:r>
              <w:rPr>
                <w:rFonts w:hint="default" w:ascii="Times New Roman" w:hAnsi="Times New Roman" w:eastAsia="宋体" w:cs="Times New Roman"/>
                <w:b w:val="0"/>
                <w:bCs/>
                <w:color w:val="000000"/>
                <w:kern w:val="0"/>
                <w:sz w:val="22"/>
                <w:szCs w:val="22"/>
                <w:lang w:val="en-US" w:eastAsia="zh-CN" w:bidi="ar-AE"/>
              </w:rPr>
              <w:t>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p>
        </w:tc>
        <w:tc>
          <w:tcPr>
            <w:tcW w:w="1607" w:type="dxa"/>
            <w:vAlign w:val="center"/>
          </w:tcPr>
          <w:p>
            <w:pPr>
              <w:pStyle w:val="5"/>
              <w:adjustRightInd w:val="0"/>
              <w:snapToGrid w:val="0"/>
              <w:spacing w:after="0"/>
              <w:rPr>
                <w:rFonts w:hint="default" w:ascii="Times New Roman" w:hAnsi="Times New Roman" w:eastAsia="宋体" w:cs="Times New Roman"/>
                <w:bCs/>
                <w:color w:val="000000"/>
                <w:sz w:val="22"/>
                <w:szCs w:val="22"/>
                <w:lang w:eastAsia="zh-CN"/>
              </w:rPr>
            </w:pPr>
            <w:r>
              <w:rPr>
                <w:rFonts w:hint="default" w:ascii="Times New Roman" w:hAnsi="Times New Roman" w:cs="Times New Roman"/>
                <w:bCs/>
                <w:color w:val="000000"/>
                <w:sz w:val="22"/>
                <w:szCs w:val="22"/>
              </w:rPr>
              <w:t>2.</w:t>
            </w:r>
            <w:r>
              <w:rPr>
                <w:rFonts w:hint="default" w:cs="Times New Roman"/>
                <w:bCs/>
                <w:color w:val="000000"/>
                <w:sz w:val="22"/>
                <w:szCs w:val="22"/>
                <w:lang w:eastAsia="zh-CN"/>
              </w:rPr>
              <w:t>世荣兆业</w:t>
            </w:r>
          </w:p>
        </w:tc>
        <w:tc>
          <w:tcPr>
            <w:tcW w:w="6093" w:type="dxa"/>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default" w:ascii="Times New Roman" w:hAnsi="Times New Roman" w:eastAsia="宋体" w:cs="Times New Roman"/>
                <w:b w:val="0"/>
                <w:bCs/>
                <w:color w:val="000000"/>
                <w:kern w:val="0"/>
                <w:sz w:val="22"/>
                <w:szCs w:val="22"/>
                <w:lang w:val="en-US" w:eastAsia="zh-CN" w:bidi="ar-AE"/>
              </w:rPr>
            </w:pPr>
            <w:r>
              <w:rPr>
                <w:rFonts w:hint="default" w:cs="Times New Roman"/>
                <w:b w:val="0"/>
                <w:bCs/>
                <w:color w:val="000000"/>
                <w:kern w:val="0"/>
                <w:sz w:val="22"/>
                <w:szCs w:val="22"/>
                <w:lang w:val="en-US" w:eastAsia="zh-CN" w:bidi="ar-AE"/>
              </w:rPr>
              <w:t>世荣兆业</w:t>
            </w:r>
            <w:r>
              <w:rPr>
                <w:rFonts w:hint="default" w:ascii="Times New Roman" w:hAnsi="Times New Roman" w:eastAsia="宋体" w:cs="Times New Roman"/>
                <w:b w:val="0"/>
                <w:bCs/>
                <w:color w:val="000000"/>
                <w:kern w:val="0"/>
                <w:sz w:val="22"/>
                <w:szCs w:val="22"/>
                <w:lang w:val="en-US" w:eastAsia="zh-CN" w:bidi="ar-AE"/>
              </w:rPr>
              <w:t>于200</w:t>
            </w:r>
            <w:r>
              <w:rPr>
                <w:rFonts w:hint="default" w:cs="Times New Roman"/>
                <w:b w:val="0"/>
                <w:bCs/>
                <w:color w:val="000000"/>
                <w:kern w:val="0"/>
                <w:sz w:val="22"/>
                <w:szCs w:val="22"/>
                <w:lang w:val="en-US" w:eastAsia="zh-CN" w:bidi="ar-AE"/>
              </w:rPr>
              <w:t>0</w:t>
            </w:r>
            <w:r>
              <w:rPr>
                <w:rFonts w:hint="default" w:ascii="Times New Roman" w:hAnsi="Times New Roman" w:eastAsia="宋体" w:cs="Times New Roman"/>
                <w:b w:val="0"/>
                <w:bCs/>
                <w:color w:val="000000"/>
                <w:kern w:val="0"/>
                <w:sz w:val="22"/>
                <w:szCs w:val="22"/>
                <w:lang w:val="en-US" w:eastAsia="zh-CN" w:bidi="ar-AE"/>
              </w:rPr>
              <w:t>年12月</w:t>
            </w:r>
            <w:r>
              <w:rPr>
                <w:rFonts w:hint="default" w:cs="Times New Roman"/>
                <w:b w:val="0"/>
                <w:bCs/>
                <w:color w:val="000000"/>
                <w:kern w:val="0"/>
                <w:sz w:val="22"/>
                <w:szCs w:val="22"/>
                <w:lang w:val="en-US" w:eastAsia="zh-CN" w:bidi="ar-AE"/>
              </w:rPr>
              <w:t>28</w:t>
            </w:r>
            <w:r>
              <w:rPr>
                <w:rFonts w:hint="default" w:ascii="Times New Roman" w:hAnsi="Times New Roman" w:eastAsia="宋体" w:cs="Times New Roman"/>
                <w:b w:val="0"/>
                <w:bCs/>
                <w:color w:val="000000"/>
                <w:kern w:val="0"/>
                <w:sz w:val="22"/>
                <w:szCs w:val="22"/>
                <w:lang w:val="en-US" w:eastAsia="zh-CN" w:bidi="ar-AE"/>
              </w:rPr>
              <w:t>日成立于</w:t>
            </w:r>
            <w:r>
              <w:rPr>
                <w:rFonts w:hint="default" w:cs="Times New Roman"/>
                <w:b w:val="0"/>
                <w:bCs/>
                <w:color w:val="000000"/>
                <w:kern w:val="0"/>
                <w:sz w:val="22"/>
                <w:szCs w:val="22"/>
                <w:lang w:val="en-US" w:eastAsia="zh-CN" w:bidi="ar-AE"/>
              </w:rPr>
              <w:t>广东省</w:t>
            </w:r>
            <w:r>
              <w:rPr>
                <w:rFonts w:hint="default" w:ascii="Times New Roman" w:hAnsi="Times New Roman" w:eastAsia="宋体" w:cs="Times New Roman"/>
                <w:b w:val="0"/>
                <w:bCs/>
                <w:color w:val="000000"/>
                <w:kern w:val="0"/>
                <w:sz w:val="22"/>
                <w:szCs w:val="22"/>
                <w:lang w:val="en-US" w:eastAsia="zh-CN" w:bidi="ar-AE"/>
              </w:rPr>
              <w:t>，为</w:t>
            </w:r>
            <w:r>
              <w:rPr>
                <w:rFonts w:hint="default" w:cs="Times New Roman"/>
                <w:b w:val="0"/>
                <w:bCs/>
                <w:color w:val="000000"/>
                <w:kern w:val="0"/>
                <w:sz w:val="22"/>
                <w:szCs w:val="22"/>
                <w:lang w:val="en-US" w:eastAsia="zh-CN" w:bidi="ar-AE"/>
              </w:rPr>
              <w:t>深圳</w:t>
            </w:r>
            <w:r>
              <w:rPr>
                <w:rFonts w:hint="default" w:ascii="Times New Roman" w:hAnsi="Times New Roman" w:eastAsia="宋体" w:cs="Times New Roman"/>
                <w:b w:val="0"/>
                <w:bCs/>
                <w:color w:val="000000"/>
                <w:kern w:val="0"/>
                <w:sz w:val="22"/>
                <w:szCs w:val="22"/>
                <w:lang w:val="en-US" w:eastAsia="zh-CN" w:bidi="ar-AE"/>
              </w:rPr>
              <w:t>交易所上市公司，主要从事</w:t>
            </w:r>
            <w:r>
              <w:rPr>
                <w:rFonts w:hint="default" w:ascii="Times New Roman" w:hAnsi="Times New Roman" w:cs="Times New Roman"/>
                <w:bCs/>
                <w:color w:val="000000"/>
                <w:kern w:val="0"/>
                <w:sz w:val="22"/>
                <w:szCs w:val="22"/>
                <w:lang w:bidi="ar-AE"/>
              </w:rPr>
              <w:t>房地产开发与经营</w:t>
            </w:r>
            <w:r>
              <w:rPr>
                <w:rFonts w:hint="default" w:ascii="Times New Roman" w:hAnsi="Times New Roman" w:eastAsia="宋体" w:cs="Times New Roman"/>
                <w:b w:val="0"/>
                <w:bCs/>
                <w:color w:val="000000"/>
                <w:kern w:val="0"/>
                <w:sz w:val="22"/>
                <w:szCs w:val="22"/>
                <w:lang w:val="en-US" w:eastAsia="zh-CN" w:bidi="ar-AE"/>
              </w:rPr>
              <w:t>等业务。</w:t>
            </w:r>
          </w:p>
          <w:p>
            <w:pPr>
              <w:widowControl/>
              <w:adjustRightInd w:val="0"/>
              <w:snapToGrid w:val="0"/>
              <w:jc w:val="left"/>
              <w:rPr>
                <w:rFonts w:hint="default" w:ascii="Times New Roman" w:hAnsi="Times New Roman" w:eastAsia="宋体" w:cs="Times New Roman"/>
                <w:bCs/>
                <w:color w:val="000000"/>
                <w:kern w:val="2"/>
                <w:sz w:val="22"/>
                <w:szCs w:val="22"/>
                <w:lang w:bidi="ar-AE"/>
              </w:rPr>
            </w:pPr>
            <w:r>
              <w:rPr>
                <w:rFonts w:hint="default" w:cs="Times New Roman"/>
                <w:b w:val="0"/>
                <w:bCs/>
                <w:color w:val="000000"/>
                <w:kern w:val="0"/>
                <w:sz w:val="22"/>
                <w:szCs w:val="22"/>
                <w:lang w:val="en-US" w:eastAsia="zh-CN" w:bidi="ar-AE"/>
              </w:rPr>
              <w:t>世荣兆业</w:t>
            </w:r>
            <w:r>
              <w:rPr>
                <w:rFonts w:hint="default" w:ascii="Times New Roman" w:hAnsi="Times New Roman" w:eastAsia="宋体" w:cs="Times New Roman"/>
                <w:b w:val="0"/>
                <w:bCs/>
                <w:color w:val="000000"/>
                <w:kern w:val="0"/>
                <w:sz w:val="22"/>
                <w:szCs w:val="22"/>
                <w:lang w:val="en-US" w:eastAsia="zh-CN" w:bidi="ar-AE"/>
              </w:rPr>
              <w:t>最终控制人</w:t>
            </w:r>
            <w:r>
              <w:rPr>
                <w:rFonts w:hint="default" w:cs="Times New Roman"/>
                <w:b w:val="0"/>
                <w:bCs/>
                <w:color w:val="000000"/>
                <w:kern w:val="0"/>
                <w:sz w:val="22"/>
                <w:szCs w:val="22"/>
                <w:lang w:val="en-US" w:eastAsia="zh-CN" w:bidi="ar-AE"/>
              </w:rPr>
              <w:t>为</w:t>
            </w:r>
            <w:r>
              <w:rPr>
                <w:rFonts w:hint="default" w:ascii="Times New Roman" w:hAnsi="Times New Roman" w:cs="Times New Roman"/>
                <w:bCs/>
                <w:color w:val="000000"/>
                <w:kern w:val="0"/>
                <w:sz w:val="22"/>
                <w:szCs w:val="22"/>
                <w:lang w:bidi="ar-AE"/>
              </w:rPr>
              <w:t>梁社增</w:t>
            </w:r>
            <w:r>
              <w:rPr>
                <w:rFonts w:hint="default" w:ascii="Times New Roman" w:hAnsi="Times New Roman" w:cs="Times New Roman"/>
                <w:bCs/>
                <w:color w:val="000000"/>
                <w:kern w:val="0"/>
                <w:sz w:val="22"/>
                <w:szCs w:val="22"/>
                <w:lang w:eastAsia="zh-CN" w:bidi="ar-AE"/>
              </w:rPr>
              <w:t>，主要从事</w:t>
            </w:r>
            <w:r>
              <w:rPr>
                <w:rFonts w:hint="default" w:ascii="Times New Roman" w:hAnsi="Times New Roman"/>
                <w:bCs/>
                <w:color w:val="000000"/>
                <w:kern w:val="0"/>
                <w:sz w:val="22"/>
                <w:szCs w:val="22"/>
                <w:lang w:bidi="ar-AE"/>
              </w:rPr>
              <w:t>房地产开发经营</w:t>
            </w:r>
            <w:r>
              <w:rPr>
                <w:rFonts w:hint="default" w:ascii="Times New Roman" w:hAnsi="Times New Roman"/>
                <w:bCs/>
                <w:color w:val="000000"/>
                <w:kern w:val="0"/>
                <w:sz w:val="22"/>
                <w:szCs w:val="22"/>
                <w:lang w:eastAsia="zh-CN" w:bidi="ar-AE"/>
              </w:rPr>
              <w:t>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 w:val="24"/>
                <w:szCs w:val="24"/>
              </w:rPr>
            </w:pPr>
            <w:r>
              <w:rPr>
                <w:rFonts w:hint="default" w:ascii="Times New Roman" w:hAnsi="Times New Roman" w:cs="Times New Roman"/>
                <w:b/>
                <w:bCs w:val="0"/>
                <w:color w:val="000000"/>
                <w:sz w:val="24"/>
                <w:szCs w:val="24"/>
              </w:rPr>
              <w:t>简易案件理由（可以单选，</w:t>
            </w:r>
          </w:p>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也可以多选）</w:t>
            </w: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FE"/>
            </w:r>
            <w:r>
              <w:rPr>
                <w:rFonts w:hint="default" w:ascii="Times New Roman" w:hAnsi="Times New Roman" w:cs="Times New Roman"/>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FE"/>
            </w:r>
            <w:r>
              <w:rPr>
                <w:rFonts w:hint="default" w:ascii="Times New Roman" w:hAnsi="Times New Roman" w:cs="Times New Roman"/>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p>
        </w:tc>
        <w:tc>
          <w:tcPr>
            <w:tcW w:w="7700" w:type="dxa"/>
            <w:gridSpan w:val="2"/>
            <w:vAlign w:val="center"/>
          </w:tcPr>
          <w:p>
            <w:pPr>
              <w:pStyle w:val="5"/>
              <w:adjustRightInd w:val="0"/>
              <w:snapToGrid w:val="0"/>
              <w:spacing w:after="0"/>
              <w:rPr>
                <w:rFonts w:hint="default" w:ascii="Times New Roman" w:hAnsi="Times New Roman" w:cs="Times New Roman"/>
                <w:bCs/>
                <w:color w:val="000000"/>
                <w:sz w:val="22"/>
                <w:szCs w:val="22"/>
              </w:rPr>
            </w:pPr>
            <w:r>
              <w:rPr>
                <w:rFonts w:hint="default" w:ascii="Times New Roman" w:hAnsi="Times New Roman" w:cs="Times New Roman"/>
                <w:bCs/>
                <w:color w:val="000000"/>
                <w:sz w:val="22"/>
                <w:szCs w:val="22"/>
              </w:rPr>
              <w:sym w:font="Wingdings" w:char="00A8"/>
            </w:r>
            <w:r>
              <w:rPr>
                <w:rFonts w:hint="default" w:ascii="Times New Roman" w:hAnsi="Times New Roman" w:cs="Times New Roman"/>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jc w:val="center"/>
        </w:trPr>
        <w:tc>
          <w:tcPr>
            <w:tcW w:w="1940" w:type="dxa"/>
            <w:shd w:val="clear" w:color="auto" w:fill="auto"/>
            <w:vAlign w:val="center"/>
          </w:tcPr>
          <w:p>
            <w:pPr>
              <w:pStyle w:val="5"/>
              <w:adjustRightInd w:val="0"/>
              <w:snapToGrid w:val="0"/>
              <w:spacing w:after="0"/>
              <w:jc w:val="center"/>
              <w:rPr>
                <w:rFonts w:hint="default" w:ascii="Times New Roman" w:hAnsi="Times New Roman" w:cs="Times New Roman"/>
                <w:b/>
                <w:bCs w:val="0"/>
                <w:color w:val="000000"/>
                <w:szCs w:val="21"/>
              </w:rPr>
            </w:pPr>
            <w:r>
              <w:rPr>
                <w:rFonts w:hint="default" w:ascii="Times New Roman" w:hAnsi="Times New Roman" w:cs="Times New Roman"/>
                <w:b/>
                <w:bCs w:val="0"/>
                <w:color w:val="000000"/>
                <w:sz w:val="24"/>
                <w:szCs w:val="24"/>
              </w:rPr>
              <w:t>备注</w:t>
            </w:r>
          </w:p>
        </w:tc>
        <w:tc>
          <w:tcPr>
            <w:tcW w:w="7700" w:type="dxa"/>
            <w:gridSpan w:val="2"/>
            <w:vAlign w:val="center"/>
          </w:tcPr>
          <w:p>
            <w:pPr>
              <w:pStyle w:val="5"/>
              <w:adjustRightInd w:val="0"/>
              <w:snapToGrid w:val="0"/>
              <w:spacing w:after="0" w:line="240" w:lineRule="auto"/>
              <w:rPr>
                <w:rFonts w:hint="default" w:ascii="Times New Roman" w:hAnsi="Times New Roman" w:cs="Times New Roman"/>
                <w:b/>
                <w:bCs w:val="0"/>
                <w:color w:val="000000"/>
                <w:sz w:val="22"/>
                <w:szCs w:val="22"/>
                <w:lang w:eastAsia="zh-CN" w:bidi="ar-AE"/>
              </w:rPr>
            </w:pPr>
            <w:r>
              <w:rPr>
                <w:rFonts w:hint="default" w:ascii="Times New Roman" w:hAnsi="Times New Roman" w:cs="Times New Roman"/>
                <w:b/>
                <w:bCs w:val="0"/>
                <w:color w:val="000000"/>
                <w:sz w:val="22"/>
                <w:szCs w:val="22"/>
                <w:lang w:eastAsia="zh-CN" w:bidi="ar-AE"/>
              </w:rPr>
              <w:t>横向重叠：</w:t>
            </w:r>
          </w:p>
          <w:tbl>
            <w:tblPr>
              <w:tblStyle w:val="10"/>
              <w:tblW w:w="8619" w:type="dxa"/>
              <w:tblInd w:w="0" w:type="dxa"/>
              <w:tblLayout w:type="fixed"/>
              <w:tblCellMar>
                <w:top w:w="0" w:type="dxa"/>
                <w:left w:w="10" w:type="dxa"/>
                <w:bottom w:w="0" w:type="dxa"/>
                <w:right w:w="10" w:type="dxa"/>
              </w:tblCellMar>
            </w:tblPr>
            <w:tblGrid>
              <w:gridCol w:w="2850"/>
              <w:gridCol w:w="1971"/>
              <w:gridCol w:w="2583"/>
            </w:tblGrid>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相关商品市场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相关地域市场</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2023</w:t>
                  </w:r>
                  <w:r>
                    <w:rPr>
                      <w:rFonts w:hint="default" w:ascii="Times New Roman" w:hAnsi="Times New Roman" w:cs="Times New Roman" w:eastAsiaTheme="minorEastAsia"/>
                      <w:bCs/>
                      <w:color w:val="000000"/>
                      <w:sz w:val="22"/>
                      <w:szCs w:val="22"/>
                      <w:lang w:eastAsia="zh-CN" w:bidi="ar-SA"/>
                    </w:rPr>
                    <w:t>年市场份额</w:t>
                  </w:r>
                </w:p>
              </w:tc>
            </w:tr>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商品住宅</w:t>
                  </w:r>
                  <w:r>
                    <w:rPr>
                      <w:rFonts w:hint="default" w:cs="Times New Roman" w:eastAsiaTheme="minorEastAsia"/>
                      <w:bCs/>
                      <w:color w:val="000000"/>
                      <w:sz w:val="22"/>
                      <w:szCs w:val="22"/>
                      <w:lang w:eastAsia="zh-CN" w:bidi="ar-SA"/>
                    </w:rPr>
                    <w:t>开发和</w:t>
                  </w:r>
                  <w:r>
                    <w:rPr>
                      <w:rFonts w:hint="default" w:ascii="Times New Roman" w:hAnsi="Times New Roman" w:cs="Times New Roman" w:eastAsiaTheme="minorEastAsia"/>
                      <w:bCs/>
                      <w:color w:val="000000"/>
                      <w:sz w:val="22"/>
                      <w:szCs w:val="22"/>
                      <w:lang w:eastAsia="zh-CN" w:bidi="ar-SA"/>
                    </w:rPr>
                    <w:t>销售市场</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珠海市</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安居公司</w:t>
                  </w:r>
                  <w:r>
                    <w:rPr>
                      <w:rFonts w:hint="default" w:ascii="Times New Roman" w:hAnsi="Times New Roman" w:cs="Times New Roman" w:eastAsiaTheme="minorEastAsia"/>
                      <w:bCs/>
                      <w:color w:val="000000"/>
                      <w:sz w:val="22"/>
                      <w:szCs w:val="22"/>
                      <w:lang w:eastAsia="zh-CN" w:bidi="ar-SA"/>
                    </w:rPr>
                    <w:t>：0-5%</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世荣兆业</w:t>
                  </w:r>
                  <w:r>
                    <w:rPr>
                      <w:rFonts w:hint="default" w:ascii="Times New Roman" w:hAnsi="Times New Roman" w:cs="Times New Roman" w:eastAsiaTheme="minorEastAsia"/>
                      <w:bCs/>
                      <w:color w:val="000000"/>
                      <w:sz w:val="22"/>
                      <w:szCs w:val="22"/>
                      <w:lang w:eastAsia="zh-CN" w:bidi="ar-SA"/>
                    </w:rPr>
                    <w:t>：0-5%</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双方合计：0-5%</w:t>
                  </w:r>
                </w:p>
              </w:tc>
            </w:tr>
            <w:tr>
              <w:tblPrEx>
                <w:tblCellMar>
                  <w:top w:w="0" w:type="dxa"/>
                  <w:left w:w="10" w:type="dxa"/>
                  <w:bottom w:w="0" w:type="dxa"/>
                  <w:right w:w="10" w:type="dxa"/>
                </w:tblCellMar>
              </w:tblPrEx>
              <w:tc>
                <w:tcPr>
                  <w:tcW w:w="285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商业物业管理服务</w:t>
                  </w:r>
                </w:p>
              </w:tc>
              <w:tc>
                <w:tcPr>
                  <w:tcW w:w="19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珠海市</w:t>
                  </w:r>
                </w:p>
              </w:tc>
              <w:tc>
                <w:tcPr>
                  <w:tcW w:w="258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安居</w:t>
                  </w:r>
                  <w:r>
                    <w:rPr>
                      <w:rFonts w:hint="default" w:ascii="Times New Roman" w:hAnsi="Times New Roman" w:cs="Times New Roman" w:eastAsiaTheme="minorEastAsia"/>
                      <w:bCs/>
                      <w:color w:val="000000"/>
                      <w:sz w:val="22"/>
                      <w:szCs w:val="22"/>
                      <w:lang w:eastAsia="zh-CN" w:bidi="ar-SA"/>
                    </w:rPr>
                    <w:t>公司：0-5%</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世荣兆业</w:t>
                  </w:r>
                  <w:r>
                    <w:rPr>
                      <w:rFonts w:hint="default" w:ascii="Times New Roman" w:hAnsi="Times New Roman" w:cs="Times New Roman" w:eastAsiaTheme="minorEastAsia"/>
                      <w:bCs/>
                      <w:color w:val="000000"/>
                      <w:sz w:val="22"/>
                      <w:szCs w:val="22"/>
                      <w:lang w:eastAsia="zh-CN" w:bidi="ar-SA"/>
                    </w:rPr>
                    <w:t>：0-5%</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双</w:t>
                  </w:r>
                  <w:r>
                    <w:rPr>
                      <w:rFonts w:hint="default" w:ascii="Times New Roman" w:hAnsi="Times New Roman" w:cs="Times New Roman" w:eastAsiaTheme="minorEastAsia"/>
                      <w:bCs/>
                      <w:color w:val="000000"/>
                      <w:sz w:val="22"/>
                      <w:szCs w:val="22"/>
                      <w:lang w:eastAsia="zh-CN" w:bidi="ar-SA"/>
                    </w:rPr>
                    <w:t>方合计：0-5%</w:t>
                  </w:r>
                </w:p>
              </w:tc>
            </w:tr>
          </w:tbl>
          <w:p>
            <w:pPr>
              <w:pStyle w:val="5"/>
              <w:adjustRightInd w:val="0"/>
              <w:snapToGrid w:val="0"/>
              <w:spacing w:after="0" w:line="240" w:lineRule="auto"/>
              <w:rPr>
                <w:rFonts w:hint="default" w:ascii="Times New Roman" w:hAnsi="Times New Roman" w:eastAsia="宋体" w:cs="Times New Roman"/>
                <w:b/>
                <w:bCs w:val="0"/>
                <w:color w:val="000000"/>
                <w:sz w:val="22"/>
                <w:szCs w:val="22"/>
                <w:lang w:eastAsia="zh-CN" w:bidi="ar-SA"/>
              </w:rPr>
            </w:pPr>
          </w:p>
          <w:p>
            <w:pPr>
              <w:pStyle w:val="5"/>
              <w:adjustRightInd w:val="0"/>
              <w:snapToGrid w:val="0"/>
              <w:spacing w:after="0" w:line="240" w:lineRule="auto"/>
              <w:rPr>
                <w:rFonts w:hint="default" w:ascii="Times New Roman" w:hAnsi="Times New Roman" w:cs="Times New Roman"/>
                <w:b/>
                <w:bCs w:val="0"/>
                <w:color w:val="000000"/>
                <w:sz w:val="22"/>
                <w:szCs w:val="22"/>
                <w:lang w:eastAsia="zh-CN" w:bidi="ar-SA"/>
              </w:rPr>
            </w:pPr>
            <w:r>
              <w:rPr>
                <w:rFonts w:hint="default" w:ascii="Times New Roman" w:hAnsi="Times New Roman" w:cs="Times New Roman"/>
                <w:b/>
                <w:bCs w:val="0"/>
                <w:color w:val="000000"/>
                <w:sz w:val="22"/>
                <w:szCs w:val="22"/>
                <w:lang w:eastAsia="zh-CN" w:bidi="ar-SA"/>
              </w:rPr>
              <w:t>纵向关联：</w:t>
            </w:r>
          </w:p>
          <w:tbl>
            <w:tblPr>
              <w:tblStyle w:val="10"/>
              <w:tblW w:w="8619" w:type="dxa"/>
              <w:tblInd w:w="0" w:type="dxa"/>
              <w:tblLayout w:type="fixed"/>
              <w:tblCellMar>
                <w:top w:w="0" w:type="dxa"/>
                <w:left w:w="10" w:type="dxa"/>
                <w:bottom w:w="0" w:type="dxa"/>
                <w:right w:w="10" w:type="dxa"/>
              </w:tblCellMar>
            </w:tblPr>
            <w:tblGrid>
              <w:gridCol w:w="2766"/>
              <w:gridCol w:w="2010"/>
              <w:gridCol w:w="2613"/>
            </w:tblGrid>
            <w:tr>
              <w:tblPrEx>
                <w:tblCellMar>
                  <w:top w:w="0" w:type="dxa"/>
                  <w:left w:w="10" w:type="dxa"/>
                  <w:bottom w:w="0" w:type="dxa"/>
                  <w:right w:w="10" w:type="dxa"/>
                </w:tblCellMar>
              </w:tblPrEx>
              <w:tc>
                <w:tcPr>
                  <w:tcW w:w="2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相关商品市场</w:t>
                  </w:r>
                </w:p>
              </w:tc>
              <w:tc>
                <w:tcPr>
                  <w:tcW w:w="20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相关地域市场</w:t>
                  </w:r>
                </w:p>
              </w:tc>
              <w:tc>
                <w:tcPr>
                  <w:tcW w:w="26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eastAsiaTheme="minorEastAsia"/>
                      <w:bCs/>
                      <w:color w:val="000000"/>
                      <w:sz w:val="22"/>
                      <w:szCs w:val="22"/>
                      <w:lang w:eastAsia="zh-CN" w:bidi="ar-SA"/>
                    </w:rPr>
                    <w:t>2023</w:t>
                  </w:r>
                  <w:r>
                    <w:rPr>
                      <w:rFonts w:hint="default" w:ascii="Times New Roman" w:hAnsi="Times New Roman" w:cs="Times New Roman" w:eastAsiaTheme="minorEastAsia"/>
                      <w:bCs/>
                      <w:color w:val="000000"/>
                      <w:sz w:val="22"/>
                      <w:szCs w:val="22"/>
                      <w:lang w:eastAsia="zh-CN" w:bidi="ar-SA"/>
                    </w:rPr>
                    <w:t>年市场份额</w:t>
                  </w:r>
                </w:p>
              </w:tc>
            </w:tr>
            <w:tr>
              <w:tblPrEx>
                <w:tblCellMar>
                  <w:top w:w="0" w:type="dxa"/>
                  <w:left w:w="10" w:type="dxa"/>
                  <w:bottom w:w="0" w:type="dxa"/>
                  <w:right w:w="10" w:type="dxa"/>
                </w:tblCellMar>
              </w:tblPrEx>
              <w:tc>
                <w:tcPr>
                  <w:tcW w:w="2766"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上游：</w:t>
                  </w:r>
                  <w:r>
                    <w:rPr>
                      <w:rFonts w:hint="default" w:ascii="Times New Roman" w:hAnsi="Times New Roman" w:eastAsiaTheme="minorEastAsia"/>
                      <w:bCs/>
                      <w:color w:val="000000"/>
                      <w:sz w:val="22"/>
                      <w:szCs w:val="22"/>
                      <w:lang w:eastAsia="zh-CN" w:bidi="ar-SA"/>
                    </w:rPr>
                    <w:t>商品住宅</w:t>
                  </w:r>
                  <w:r>
                    <w:rPr>
                      <w:rFonts w:hint="default" w:eastAsiaTheme="minorEastAsia"/>
                      <w:bCs/>
                      <w:color w:val="000000"/>
                      <w:sz w:val="22"/>
                      <w:szCs w:val="22"/>
                      <w:lang w:eastAsia="zh-CN" w:bidi="ar-SA"/>
                    </w:rPr>
                    <w:t>开发和</w:t>
                  </w:r>
                  <w:r>
                    <w:rPr>
                      <w:rFonts w:hint="default" w:ascii="Times New Roman" w:hAnsi="Times New Roman" w:eastAsiaTheme="minorEastAsia"/>
                      <w:bCs/>
                      <w:color w:val="000000"/>
                      <w:sz w:val="22"/>
                      <w:szCs w:val="22"/>
                      <w:lang w:eastAsia="zh-CN" w:bidi="ar-SA"/>
                    </w:rPr>
                    <w:t>销售</w:t>
                  </w:r>
                  <w:r>
                    <w:rPr>
                      <w:rFonts w:hint="default" w:ascii="Times New Roman" w:hAnsi="Times New Roman" w:cs="Times New Roman" w:eastAsiaTheme="minorEastAsia"/>
                      <w:bCs/>
                      <w:color w:val="000000"/>
                      <w:sz w:val="22"/>
                      <w:szCs w:val="22"/>
                      <w:lang w:eastAsia="zh-CN" w:bidi="ar-SA"/>
                    </w:rPr>
                    <w:t>市场</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下游：</w:t>
                  </w:r>
                  <w:r>
                    <w:rPr>
                      <w:rFonts w:hint="default" w:ascii="Times New Roman" w:hAnsi="Times New Roman" w:eastAsiaTheme="minorEastAsia"/>
                      <w:bCs/>
                      <w:color w:val="000000"/>
                      <w:sz w:val="22"/>
                      <w:szCs w:val="22"/>
                      <w:lang w:eastAsia="zh-CN" w:bidi="ar-SA"/>
                    </w:rPr>
                    <w:t>住宅物业管理服务</w:t>
                  </w:r>
                  <w:r>
                    <w:rPr>
                      <w:rFonts w:hint="default" w:ascii="Times New Roman" w:hAnsi="Times New Roman" w:cs="Times New Roman" w:eastAsiaTheme="minorEastAsia"/>
                      <w:bCs/>
                      <w:color w:val="000000"/>
                      <w:sz w:val="22"/>
                      <w:szCs w:val="22"/>
                      <w:lang w:eastAsia="zh-CN" w:bidi="ar-SA"/>
                    </w:rPr>
                    <w:t>市场</w:t>
                  </w:r>
                </w:p>
              </w:tc>
              <w:tc>
                <w:tcPr>
                  <w:tcW w:w="20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上游：</w:t>
                  </w:r>
                  <w:r>
                    <w:rPr>
                      <w:rFonts w:hint="default" w:ascii="Times New Roman" w:hAnsi="Times New Roman" w:eastAsiaTheme="minorEastAsia"/>
                      <w:bCs/>
                      <w:color w:val="000000"/>
                      <w:sz w:val="22"/>
                      <w:szCs w:val="22"/>
                      <w:lang w:eastAsia="zh-CN" w:bidi="ar-SA"/>
                    </w:rPr>
                    <w:t>珠海市</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下游：</w:t>
                  </w:r>
                  <w:r>
                    <w:rPr>
                      <w:rFonts w:hint="default" w:ascii="Times New Roman" w:hAnsi="Times New Roman" w:eastAsiaTheme="minorEastAsia"/>
                      <w:bCs/>
                      <w:color w:val="000000"/>
                      <w:sz w:val="22"/>
                      <w:szCs w:val="22"/>
                      <w:lang w:eastAsia="zh-CN" w:bidi="ar-SA"/>
                    </w:rPr>
                    <w:t>珠海市</w:t>
                  </w:r>
                </w:p>
              </w:tc>
              <w:tc>
                <w:tcPr>
                  <w:tcW w:w="261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上游：珠海</w:t>
                  </w:r>
                  <w:r>
                    <w:rPr>
                      <w:rFonts w:hint="default" w:cs="Times New Roman" w:eastAsiaTheme="minorEastAsia"/>
                      <w:bCs/>
                      <w:color w:val="000000"/>
                      <w:sz w:val="22"/>
                      <w:szCs w:val="22"/>
                      <w:lang w:eastAsia="zh-CN" w:bidi="ar-SA"/>
                    </w:rPr>
                    <w:t>市</w:t>
                  </w:r>
                  <w:r>
                    <w:rPr>
                      <w:rFonts w:hint="default" w:ascii="Times New Roman" w:hAnsi="Times New Roman" w:eastAsiaTheme="minorEastAsia"/>
                      <w:bCs/>
                      <w:color w:val="000000"/>
                      <w:sz w:val="22"/>
                      <w:szCs w:val="22"/>
                      <w:lang w:eastAsia="zh-CN" w:bidi="ar-SA"/>
                    </w:rPr>
                    <w:t>商品住宅</w:t>
                  </w:r>
                  <w:r>
                    <w:rPr>
                      <w:rFonts w:hint="default" w:eastAsiaTheme="minorEastAsia"/>
                      <w:bCs/>
                      <w:color w:val="000000"/>
                      <w:sz w:val="22"/>
                      <w:szCs w:val="22"/>
                      <w:lang w:eastAsia="zh-CN" w:bidi="ar-SA"/>
                    </w:rPr>
                    <w:t>开发和</w:t>
                  </w:r>
                  <w:r>
                    <w:rPr>
                      <w:rFonts w:hint="default" w:ascii="Times New Roman" w:hAnsi="Times New Roman" w:eastAsiaTheme="minorEastAsia"/>
                      <w:bCs/>
                      <w:color w:val="000000"/>
                      <w:sz w:val="22"/>
                      <w:szCs w:val="22"/>
                      <w:lang w:eastAsia="zh-CN" w:bidi="ar-SA"/>
                    </w:rPr>
                    <w:t>销售</w:t>
                  </w:r>
                  <w:r>
                    <w:rPr>
                      <w:rFonts w:hint="default" w:ascii="Times New Roman" w:hAnsi="Times New Roman" w:cs="Times New Roman" w:eastAsiaTheme="minorEastAsia"/>
                      <w:bCs/>
                      <w:color w:val="000000"/>
                      <w:sz w:val="22"/>
                      <w:szCs w:val="22"/>
                      <w:lang w:eastAsia="zh-CN" w:bidi="ar-SA"/>
                    </w:rPr>
                    <w:t>市场</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安居公司：</w:t>
                  </w:r>
                  <w:r>
                    <w:rPr>
                      <w:rFonts w:hint="eastAsia" w:ascii="Times New Roman" w:hAnsi="Times New Roman" w:cs="Times New Roman" w:eastAsiaTheme="minorEastAsia"/>
                      <w:bCs/>
                      <w:color w:val="000000"/>
                      <w:sz w:val="22"/>
                      <w:szCs w:val="22"/>
                      <w:lang w:eastAsia="zh-CN" w:bidi="ar-SA"/>
                    </w:rPr>
                    <w:t>如上所述</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下游：珠海市住宅物业管理服务市场</w:t>
                  </w:r>
                </w:p>
                <w:p>
                  <w:pPr>
                    <w:pStyle w:val="5"/>
                    <w:adjustRightInd w:val="0"/>
                    <w:snapToGrid w:val="0"/>
                    <w:spacing w:after="0" w:line="240" w:lineRule="auto"/>
                    <w:rPr>
                      <w:rFonts w:ascii="Times New Roman" w:hAnsi="Times New Roman" w:cs="Times New Roman" w:eastAsiaTheme="minorEastAsia"/>
                      <w:bCs/>
                      <w:color w:val="000000"/>
                      <w:sz w:val="22"/>
                      <w:szCs w:val="22"/>
                      <w:lang w:eastAsia="zh-CN" w:bidi="ar-SA"/>
                    </w:rPr>
                  </w:pPr>
                  <w:r>
                    <w:rPr>
                      <w:rFonts w:hint="default" w:ascii="Times New Roman" w:hAnsi="Times New Roman" w:cs="Times New Roman" w:eastAsiaTheme="minorEastAsia"/>
                      <w:bCs/>
                      <w:color w:val="000000"/>
                      <w:sz w:val="22"/>
                      <w:szCs w:val="22"/>
                      <w:lang w:eastAsia="zh-CN" w:bidi="ar-SA"/>
                    </w:rPr>
                    <w:t>世荣兆业：0-5%</w:t>
                  </w:r>
                </w:p>
              </w:tc>
            </w:tr>
          </w:tbl>
          <w:p>
            <w:pPr>
              <w:pStyle w:val="5"/>
              <w:adjustRightInd w:val="0"/>
              <w:snapToGrid w:val="0"/>
              <w:spacing w:after="0"/>
              <w:rPr>
                <w:rFonts w:hint="default" w:ascii="Times New Roman" w:hAnsi="Times New Roman" w:cs="Times New Roman"/>
                <w:bCs/>
                <w:color w:val="000000"/>
                <w:szCs w:val="21"/>
              </w:rPr>
            </w:pPr>
          </w:p>
        </w:tc>
      </w:tr>
    </w:tbl>
    <w:p>
      <w:pPr>
        <w:adjustRightInd w:val="0"/>
        <w:snapToGrid w:val="0"/>
        <w:rPr>
          <w:rFonts w:hint="default" w:ascii="Times New Roman" w:hAnsi="Times New Roman" w:cs="Times New Roman" w:eastAsiaTheme="minorEastAsia"/>
        </w:rPr>
      </w:pPr>
    </w:p>
    <w:p>
      <w:pPr>
        <w:rPr>
          <w:rFonts w:hint="default" w:ascii="Times New Roman" w:hAnsi="Times New Roman" w:cs="Times New Roman" w:eastAsiaTheme="minor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65E"/>
    <w:rsid w:val="3EBE2D3F"/>
    <w:rsid w:val="3ED7D01C"/>
    <w:rsid w:val="3EE73D98"/>
    <w:rsid w:val="3FFFF7A9"/>
    <w:rsid w:val="40D7777E"/>
    <w:rsid w:val="41D779C0"/>
    <w:rsid w:val="436E421B"/>
    <w:rsid w:val="43E353FE"/>
    <w:rsid w:val="45E92E66"/>
    <w:rsid w:val="46845245"/>
    <w:rsid w:val="46F216C3"/>
    <w:rsid w:val="48567BBA"/>
    <w:rsid w:val="48604985"/>
    <w:rsid w:val="48C332AF"/>
    <w:rsid w:val="49857111"/>
    <w:rsid w:val="498A72A0"/>
    <w:rsid w:val="49DD6CEB"/>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E606197"/>
    <w:rsid w:val="5E758AD3"/>
    <w:rsid w:val="5F5B3889"/>
    <w:rsid w:val="5F7404E1"/>
    <w:rsid w:val="5F7BBE1B"/>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D96DF"/>
    <w:rsid w:val="6DEFBAE0"/>
    <w:rsid w:val="6E372E5F"/>
    <w:rsid w:val="6E786ABC"/>
    <w:rsid w:val="6FDF5799"/>
    <w:rsid w:val="710A7485"/>
    <w:rsid w:val="71394751"/>
    <w:rsid w:val="72131803"/>
    <w:rsid w:val="723024E6"/>
    <w:rsid w:val="73026B48"/>
    <w:rsid w:val="74566BED"/>
    <w:rsid w:val="74CE550B"/>
    <w:rsid w:val="767FE0B3"/>
    <w:rsid w:val="76CA40F3"/>
    <w:rsid w:val="77527FDF"/>
    <w:rsid w:val="77FFCFC3"/>
    <w:rsid w:val="78410251"/>
    <w:rsid w:val="793FB7A1"/>
    <w:rsid w:val="7A9C06E1"/>
    <w:rsid w:val="7AB91678"/>
    <w:rsid w:val="7B8F578C"/>
    <w:rsid w:val="7B9A66EF"/>
    <w:rsid w:val="7BE411F0"/>
    <w:rsid w:val="7BFFD823"/>
    <w:rsid w:val="7C7918BC"/>
    <w:rsid w:val="7D8E8A18"/>
    <w:rsid w:val="7EBDA18C"/>
    <w:rsid w:val="7EE72273"/>
    <w:rsid w:val="7EF7CDD2"/>
    <w:rsid w:val="7F7BEB9D"/>
    <w:rsid w:val="7FBF2495"/>
    <w:rsid w:val="7FDCAB43"/>
    <w:rsid w:val="7FE91E78"/>
    <w:rsid w:val="7FFDE69B"/>
    <w:rsid w:val="9CBD0B1A"/>
    <w:rsid w:val="9EF6604C"/>
    <w:rsid w:val="A7F9C1DE"/>
    <w:rsid w:val="AD2F75CC"/>
    <w:rsid w:val="B593FB7D"/>
    <w:rsid w:val="BCB7048F"/>
    <w:rsid w:val="BF8E36EE"/>
    <w:rsid w:val="BFDFB85E"/>
    <w:rsid w:val="BFF5AD43"/>
    <w:rsid w:val="BFF739EC"/>
    <w:rsid w:val="D7FFD2F4"/>
    <w:rsid w:val="DDEFBA43"/>
    <w:rsid w:val="DEAFB90F"/>
    <w:rsid w:val="DF21B821"/>
    <w:rsid w:val="DFD76A11"/>
    <w:rsid w:val="E9F71F09"/>
    <w:rsid w:val="EAFD8D58"/>
    <w:rsid w:val="EB6C770B"/>
    <w:rsid w:val="EBCD181E"/>
    <w:rsid w:val="EFFFDD70"/>
    <w:rsid w:val="F1B778F1"/>
    <w:rsid w:val="F3FF743F"/>
    <w:rsid w:val="F4FF55F7"/>
    <w:rsid w:val="F7FD911C"/>
    <w:rsid w:val="F9DF2CA6"/>
    <w:rsid w:val="FB3326CC"/>
    <w:rsid w:val="FBCE4D19"/>
    <w:rsid w:val="FDBF10AA"/>
    <w:rsid w:val="FFB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8"/>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rFonts w:ascii="Times New Roman" w:hAnsi="Times New Roman" w:eastAsia="宋体"/>
      <w:sz w:val="30"/>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8"/>
    <w:qFormat/>
    <w:uiPriority w:val="0"/>
    <w:rPr>
      <w:rFonts w:ascii="Times New Roman" w:hAnsi="Times New Roman" w:eastAsia="宋体" w:cs="Times New Roman"/>
      <w:kern w:val="2"/>
      <w:sz w:val="18"/>
      <w:szCs w:val="18"/>
    </w:rPr>
  </w:style>
  <w:style w:type="character" w:customStyle="1" w:styleId="17">
    <w:name w:val="页脚 字符"/>
    <w:basedOn w:val="12"/>
    <w:link w:val="7"/>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7"/>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5</Pages>
  <Words>1707</Words>
  <Characters>1813</Characters>
  <Lines>9</Lines>
  <Paragraphs>2</Paragraphs>
  <TotalTime>12</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2023-02-24T01:34:00Z</dcterms:created>
  <dc:creator>张斌（反垄断处）</dc:creator>
  <cp:lastModifiedBy>scj</cp:lastModifiedBy>
  <cp:lastPrinted>2024-04-02T17:34:00Z</cp:lastPrinted>
  <dcterms:modified xsi:type="dcterms:W3CDTF">2024-07-19T17:21:24Z</dcterms:modified>
  <dc:title>关于经营者集中反垄断审查案件</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