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0"/>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940" w:type="dxa"/>
            <w:shd w:val="clear" w:color="auto" w:fill="auto"/>
            <w:vAlign w:val="center"/>
          </w:tcPr>
          <w:p>
            <w:pPr>
              <w:pStyle w:val="5"/>
              <w:adjustRightInd w:val="0"/>
              <w:snapToGrid w:val="0"/>
              <w:spacing w:after="0"/>
              <w:jc w:val="center"/>
              <w:rPr>
                <w:b/>
                <w:color w:val="000000"/>
                <w:szCs w:val="21"/>
              </w:rPr>
            </w:pPr>
            <w:r>
              <w:rPr>
                <w:b/>
                <w:color w:val="000000"/>
                <w:sz w:val="24"/>
              </w:rPr>
              <w:t>案件名称</w:t>
            </w:r>
          </w:p>
        </w:tc>
        <w:tc>
          <w:tcPr>
            <w:tcW w:w="7700" w:type="dxa"/>
            <w:gridSpan w:val="2"/>
            <w:shd w:val="clear" w:color="auto" w:fill="auto"/>
            <w:vAlign w:val="center"/>
          </w:tcPr>
          <w:p>
            <w:pPr>
              <w:adjustRightInd w:val="0"/>
              <w:snapToGrid w:val="0"/>
              <w:rPr>
                <w:bCs/>
                <w:color w:val="000000"/>
                <w:szCs w:val="21"/>
              </w:rPr>
            </w:pPr>
            <w:r>
              <w:rPr>
                <w:rFonts w:hint="eastAsia"/>
                <w:bCs/>
                <w:color w:val="000000"/>
                <w:sz w:val="22"/>
                <w:szCs w:val="22"/>
              </w:rPr>
              <w:t>广东顺德控股集团有限公司收购广东世运电路科技股份有限公司股权案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5" w:hRule="atLeast"/>
          <w:jc w:val="center"/>
        </w:trPr>
        <w:tc>
          <w:tcPr>
            <w:tcW w:w="1940" w:type="dxa"/>
            <w:shd w:val="clear" w:color="auto" w:fill="auto"/>
            <w:vAlign w:val="center"/>
          </w:tcPr>
          <w:p>
            <w:pPr>
              <w:pStyle w:val="5"/>
              <w:adjustRightInd w:val="0"/>
              <w:snapToGrid w:val="0"/>
              <w:spacing w:after="0"/>
              <w:jc w:val="center"/>
              <w:rPr>
                <w:b/>
                <w:color w:val="000000"/>
                <w:sz w:val="24"/>
              </w:rPr>
            </w:pPr>
            <w:r>
              <w:rPr>
                <w:b/>
                <w:color w:val="000000"/>
                <w:sz w:val="24"/>
              </w:rPr>
              <w:t>交易概况</w:t>
            </w:r>
          </w:p>
          <w:p>
            <w:pPr>
              <w:pStyle w:val="5"/>
              <w:adjustRightInd w:val="0"/>
              <w:snapToGrid w:val="0"/>
              <w:spacing w:after="0"/>
              <w:jc w:val="center"/>
              <w:rPr>
                <w:b/>
                <w:color w:val="000000"/>
                <w:szCs w:val="21"/>
              </w:rPr>
            </w:pPr>
            <w:r>
              <w:rPr>
                <w:b/>
                <w:color w:val="000000"/>
                <w:sz w:val="24"/>
              </w:rPr>
              <w:t>（限200字内）</w:t>
            </w:r>
          </w:p>
        </w:tc>
        <w:tc>
          <w:tcPr>
            <w:tcW w:w="7700" w:type="dxa"/>
            <w:gridSpan w:val="2"/>
            <w:vAlign w:val="center"/>
          </w:tcPr>
          <w:p>
            <w:pPr>
              <w:adjustRightInd w:val="0"/>
              <w:snapToGrid w:val="0"/>
              <w:rPr>
                <w:bCs/>
                <w:color w:val="000000"/>
                <w:szCs w:val="21"/>
              </w:rPr>
            </w:pPr>
            <w:r>
              <w:rPr>
                <w:rFonts w:hint="eastAsia"/>
                <w:bCs/>
                <w:color w:val="000000"/>
                <w:sz w:val="22"/>
                <w:szCs w:val="22"/>
              </w:rPr>
              <w:t>广东顺德控股集团有限公司（“顺控集团”）与新豪国际集团有限公司（“新豪国际”）、佘英杰之间签署股份转让协议，顺控集团拟收购新豪国际所持的广东世运电路科技股份有限公司（“世运电路”）25.9%股权。交易前，佘英杰通过新豪国际持有世运电路47.93%股权，单独控制世运电路。交易后，顺控集团及其一致行动人广东顺德科创璞顺股权投资合伙企业（有限合伙）将合计持有世运电路 29.2%股权，单独控制世运电路。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restart"/>
            <w:shd w:val="clear" w:color="auto" w:fill="auto"/>
            <w:vAlign w:val="center"/>
          </w:tcPr>
          <w:p>
            <w:pPr>
              <w:pStyle w:val="5"/>
              <w:adjustRightInd w:val="0"/>
              <w:snapToGrid w:val="0"/>
              <w:spacing w:after="0"/>
              <w:jc w:val="center"/>
              <w:rPr>
                <w:b/>
                <w:color w:val="000000"/>
                <w:sz w:val="24"/>
              </w:rPr>
            </w:pPr>
            <w:r>
              <w:rPr>
                <w:b/>
                <w:color w:val="000000"/>
                <w:sz w:val="24"/>
              </w:rPr>
              <w:t>参与集中的</w:t>
            </w:r>
          </w:p>
          <w:p>
            <w:pPr>
              <w:pStyle w:val="5"/>
              <w:adjustRightInd w:val="0"/>
              <w:snapToGrid w:val="0"/>
              <w:spacing w:after="0"/>
              <w:jc w:val="center"/>
              <w:rPr>
                <w:b/>
                <w:color w:val="000000"/>
                <w:sz w:val="24"/>
              </w:rPr>
            </w:pPr>
            <w:r>
              <w:rPr>
                <w:b/>
                <w:color w:val="000000"/>
                <w:sz w:val="24"/>
              </w:rPr>
              <w:t>经营者简介</w:t>
            </w:r>
          </w:p>
          <w:p>
            <w:pPr>
              <w:pStyle w:val="5"/>
              <w:adjustRightInd w:val="0"/>
              <w:snapToGrid w:val="0"/>
              <w:spacing w:after="0"/>
              <w:jc w:val="center"/>
              <w:rPr>
                <w:b/>
                <w:color w:val="000000"/>
                <w:sz w:val="24"/>
              </w:rPr>
            </w:pPr>
            <w:r>
              <w:rPr>
                <w:b/>
                <w:color w:val="000000"/>
                <w:sz w:val="24"/>
              </w:rPr>
              <w:t>（每个限100</w:t>
            </w:r>
          </w:p>
          <w:p>
            <w:pPr>
              <w:pStyle w:val="5"/>
              <w:adjustRightInd w:val="0"/>
              <w:snapToGrid w:val="0"/>
              <w:spacing w:after="0"/>
              <w:jc w:val="center"/>
              <w:rPr>
                <w:b/>
                <w:color w:val="000000"/>
                <w:szCs w:val="21"/>
              </w:rPr>
            </w:pPr>
            <w:r>
              <w:rPr>
                <w:b/>
                <w:color w:val="000000"/>
                <w:sz w:val="24"/>
              </w:rPr>
              <w:t>字以内）</w:t>
            </w:r>
          </w:p>
        </w:tc>
        <w:tc>
          <w:tcPr>
            <w:tcW w:w="1607" w:type="dxa"/>
            <w:vAlign w:val="center"/>
          </w:tcPr>
          <w:p>
            <w:pPr>
              <w:pStyle w:val="5"/>
              <w:adjustRightInd w:val="0"/>
              <w:snapToGrid w:val="0"/>
              <w:spacing w:after="0"/>
              <w:rPr>
                <w:bCs/>
                <w:color w:val="000000"/>
                <w:sz w:val="22"/>
                <w:szCs w:val="22"/>
              </w:rPr>
            </w:pPr>
            <w:r>
              <w:rPr>
                <w:rFonts w:hint="eastAsia"/>
                <w:bCs/>
                <w:color w:val="000000"/>
                <w:sz w:val="22"/>
                <w:szCs w:val="22"/>
              </w:rPr>
              <w:t>1</w:t>
            </w:r>
            <w:r>
              <w:rPr>
                <w:rFonts w:hint="default"/>
                <w:bCs/>
                <w:color w:val="000000"/>
                <w:sz w:val="22"/>
                <w:szCs w:val="22"/>
                <w:lang w:val="en"/>
              </w:rPr>
              <w:t>.</w:t>
            </w:r>
            <w:r>
              <w:rPr>
                <w:rFonts w:hint="eastAsia"/>
                <w:bCs/>
                <w:color w:val="000000"/>
                <w:sz w:val="22"/>
                <w:szCs w:val="22"/>
              </w:rPr>
              <w:t>顺控集团</w:t>
            </w:r>
          </w:p>
        </w:tc>
        <w:tc>
          <w:tcPr>
            <w:tcW w:w="6093" w:type="dxa"/>
            <w:vAlign w:val="center"/>
          </w:tcPr>
          <w:p>
            <w:pPr>
              <w:widowControl/>
              <w:adjustRightInd w:val="0"/>
              <w:snapToGrid w:val="0"/>
              <w:jc w:val="left"/>
              <w:rPr>
                <w:rFonts w:hint="eastAsia"/>
                <w:bCs/>
                <w:color w:val="000000"/>
                <w:kern w:val="0"/>
                <w:sz w:val="22"/>
                <w:szCs w:val="22"/>
                <w:lang w:bidi="ar-AE"/>
              </w:rPr>
            </w:pPr>
            <w:r>
              <w:rPr>
                <w:rFonts w:hint="eastAsia"/>
                <w:bCs/>
                <w:color w:val="000000"/>
                <w:kern w:val="0"/>
                <w:sz w:val="22"/>
                <w:szCs w:val="22"/>
                <w:lang w:bidi="ar-AE"/>
              </w:rPr>
              <w:t>顺控集团于2010年5月19日成立于中国广东省，主要从事公用事业、城市综合开发、产业投资、科创金融业务。</w:t>
            </w:r>
          </w:p>
          <w:p>
            <w:pPr>
              <w:widowControl/>
              <w:adjustRightInd w:val="0"/>
              <w:snapToGrid w:val="0"/>
              <w:jc w:val="left"/>
              <w:rPr>
                <w:bCs/>
                <w:color w:val="000000"/>
                <w:sz w:val="22"/>
                <w:szCs w:val="22"/>
              </w:rPr>
            </w:pPr>
            <w:r>
              <w:rPr>
                <w:rFonts w:hint="eastAsia"/>
                <w:bCs/>
                <w:color w:val="000000"/>
                <w:kern w:val="0"/>
                <w:sz w:val="22"/>
                <w:szCs w:val="22"/>
                <w:lang w:bidi="ar-AE"/>
              </w:rPr>
              <w:t>顺控集团为佛山市顺德区国有资产监督管理局下属企业。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940" w:type="dxa"/>
            <w:vMerge w:val="continue"/>
            <w:shd w:val="clear" w:color="auto" w:fill="auto"/>
            <w:vAlign w:val="center"/>
          </w:tcPr>
          <w:p>
            <w:pPr>
              <w:pStyle w:val="5"/>
              <w:adjustRightInd w:val="0"/>
              <w:snapToGrid w:val="0"/>
              <w:spacing w:after="0"/>
              <w:jc w:val="center"/>
              <w:rPr>
                <w:b/>
                <w:color w:val="000000"/>
                <w:sz w:val="24"/>
              </w:rPr>
            </w:pPr>
          </w:p>
        </w:tc>
        <w:tc>
          <w:tcPr>
            <w:tcW w:w="1607" w:type="dxa"/>
            <w:vAlign w:val="center"/>
          </w:tcPr>
          <w:p>
            <w:pPr>
              <w:pStyle w:val="5"/>
              <w:adjustRightInd w:val="0"/>
              <w:snapToGrid w:val="0"/>
              <w:spacing w:after="0"/>
              <w:rPr>
                <w:bCs/>
                <w:color w:val="000000"/>
                <w:sz w:val="22"/>
                <w:szCs w:val="22"/>
              </w:rPr>
            </w:pPr>
            <w:r>
              <w:rPr>
                <w:rFonts w:hint="eastAsia"/>
                <w:bCs/>
                <w:color w:val="000000"/>
                <w:sz w:val="22"/>
                <w:szCs w:val="22"/>
              </w:rPr>
              <w:t>2</w:t>
            </w:r>
            <w:r>
              <w:rPr>
                <w:rFonts w:hint="default"/>
                <w:bCs/>
                <w:color w:val="000000"/>
                <w:sz w:val="22"/>
                <w:szCs w:val="22"/>
                <w:lang w:val="en"/>
              </w:rPr>
              <w:t>.</w:t>
            </w:r>
            <w:r>
              <w:rPr>
                <w:rFonts w:hint="eastAsia"/>
                <w:bCs/>
                <w:color w:val="000000"/>
                <w:sz w:val="22"/>
                <w:szCs w:val="22"/>
              </w:rPr>
              <w:t>世运电路</w:t>
            </w:r>
          </w:p>
        </w:tc>
        <w:tc>
          <w:tcPr>
            <w:tcW w:w="6093" w:type="dxa"/>
            <w:vAlign w:val="center"/>
          </w:tcPr>
          <w:p>
            <w:pPr>
              <w:widowControl/>
              <w:adjustRightInd w:val="0"/>
              <w:snapToGrid w:val="0"/>
              <w:jc w:val="left"/>
              <w:rPr>
                <w:rFonts w:hint="eastAsia"/>
                <w:bCs/>
                <w:color w:val="000000"/>
                <w:kern w:val="0"/>
                <w:sz w:val="22"/>
                <w:szCs w:val="22"/>
                <w:lang w:bidi="ar-AE"/>
              </w:rPr>
            </w:pPr>
            <w:r>
              <w:rPr>
                <w:rFonts w:hint="eastAsia"/>
                <w:bCs/>
                <w:color w:val="000000"/>
                <w:kern w:val="0"/>
                <w:sz w:val="22"/>
                <w:szCs w:val="22"/>
                <w:lang w:bidi="ar-AE"/>
              </w:rPr>
              <w:t>世运电路于2005年5月11日成立于中国广东省，主要从事印制电路板的研发、生产与销售。</w:t>
            </w:r>
          </w:p>
          <w:p>
            <w:pPr>
              <w:widowControl/>
              <w:adjustRightInd w:val="0"/>
              <w:snapToGrid w:val="0"/>
              <w:jc w:val="left"/>
              <w:rPr>
                <w:bCs/>
                <w:color w:val="000000"/>
                <w:sz w:val="22"/>
                <w:szCs w:val="22"/>
                <w:lang w:bidi="ar-AE"/>
              </w:rPr>
            </w:pPr>
            <w:r>
              <w:rPr>
                <w:rFonts w:hint="eastAsia"/>
                <w:bCs/>
                <w:color w:val="000000"/>
                <w:kern w:val="0"/>
                <w:sz w:val="22"/>
                <w:szCs w:val="22"/>
                <w:lang w:bidi="ar-AE"/>
              </w:rPr>
              <w:t>世运电路的最终控制人为佘英杰，其主要通过世运电路从事印制电路板业务，此外通过其他关联实体从事物业投资、贸易业务。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restart"/>
            <w:shd w:val="clear" w:color="auto" w:fill="auto"/>
            <w:vAlign w:val="center"/>
          </w:tcPr>
          <w:p>
            <w:pPr>
              <w:pStyle w:val="5"/>
              <w:adjustRightInd w:val="0"/>
              <w:snapToGrid w:val="0"/>
              <w:spacing w:after="0"/>
              <w:jc w:val="center"/>
              <w:rPr>
                <w:b/>
                <w:color w:val="000000"/>
                <w:sz w:val="24"/>
              </w:rPr>
            </w:pPr>
            <w:r>
              <w:rPr>
                <w:b/>
                <w:color w:val="000000"/>
                <w:sz w:val="24"/>
              </w:rPr>
              <w:t>简易案件理由（可以单选，</w:t>
            </w:r>
          </w:p>
          <w:p>
            <w:pPr>
              <w:pStyle w:val="5"/>
              <w:adjustRightInd w:val="0"/>
              <w:snapToGrid w:val="0"/>
              <w:spacing w:after="0"/>
              <w:jc w:val="center"/>
              <w:rPr>
                <w:b/>
                <w:color w:val="000000"/>
                <w:szCs w:val="21"/>
              </w:rPr>
            </w:pPr>
            <w:r>
              <w:rPr>
                <w:b/>
                <w:color w:val="000000"/>
                <w:sz w:val="24"/>
              </w:rPr>
              <w:t>也可以多选）</w:t>
            </w: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b/>
                <w:color w:val="000000"/>
                <w:szCs w:val="21"/>
              </w:rPr>
            </w:pP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b/>
                <w:color w:val="000000"/>
                <w:szCs w:val="21"/>
              </w:rPr>
            </w:pP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FE"/>
            </w:r>
            <w:r>
              <w:rPr>
                <w:bCs/>
                <w:color w:val="000000"/>
                <w:sz w:val="22"/>
                <w:szCs w:val="22"/>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b/>
                <w:color w:val="000000"/>
                <w:szCs w:val="21"/>
              </w:rPr>
            </w:pP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b/>
                <w:color w:val="000000"/>
                <w:szCs w:val="21"/>
              </w:rPr>
            </w:pP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1940" w:type="dxa"/>
            <w:vMerge w:val="continue"/>
            <w:shd w:val="clear" w:color="auto" w:fill="auto"/>
            <w:vAlign w:val="center"/>
          </w:tcPr>
          <w:p>
            <w:pPr>
              <w:pStyle w:val="5"/>
              <w:adjustRightInd w:val="0"/>
              <w:snapToGrid w:val="0"/>
              <w:spacing w:after="0"/>
              <w:jc w:val="center"/>
              <w:rPr>
                <w:b/>
                <w:color w:val="000000"/>
                <w:szCs w:val="21"/>
              </w:rPr>
            </w:pPr>
          </w:p>
        </w:tc>
        <w:tc>
          <w:tcPr>
            <w:tcW w:w="7700" w:type="dxa"/>
            <w:gridSpan w:val="2"/>
            <w:vAlign w:val="center"/>
          </w:tcPr>
          <w:p>
            <w:pPr>
              <w:pStyle w:val="5"/>
              <w:adjustRightInd w:val="0"/>
              <w:snapToGrid w:val="0"/>
              <w:spacing w:after="0"/>
              <w:rPr>
                <w:bCs/>
                <w:color w:val="000000"/>
                <w:sz w:val="22"/>
                <w:szCs w:val="22"/>
              </w:rPr>
            </w:pPr>
            <w:r>
              <w:rPr>
                <w:bCs/>
                <w:color w:val="000000"/>
                <w:sz w:val="22"/>
                <w:szCs w:val="22"/>
              </w:rPr>
              <w:sym w:font="Wingdings" w:char="00A8"/>
            </w:r>
            <w:r>
              <w:rPr>
                <w:bCs/>
                <w:color w:val="000000"/>
                <w:sz w:val="22"/>
                <w:szCs w:val="22"/>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9" w:hRule="atLeast"/>
          <w:jc w:val="center"/>
        </w:trPr>
        <w:tc>
          <w:tcPr>
            <w:tcW w:w="1940" w:type="dxa"/>
            <w:shd w:val="clear" w:color="auto" w:fill="auto"/>
            <w:vAlign w:val="center"/>
          </w:tcPr>
          <w:p>
            <w:pPr>
              <w:pStyle w:val="5"/>
              <w:adjustRightInd w:val="0"/>
              <w:snapToGrid w:val="0"/>
              <w:spacing w:after="0"/>
              <w:jc w:val="center"/>
              <w:rPr>
                <w:b/>
                <w:color w:val="000000"/>
                <w:szCs w:val="21"/>
              </w:rPr>
            </w:pPr>
            <w:r>
              <w:rPr>
                <w:b/>
                <w:color w:val="000000"/>
                <w:sz w:val="24"/>
              </w:rPr>
              <w:t>备注</w:t>
            </w:r>
          </w:p>
        </w:tc>
        <w:tc>
          <w:tcPr>
            <w:tcW w:w="7700" w:type="dxa"/>
            <w:gridSpan w:val="2"/>
            <w:vAlign w:val="center"/>
          </w:tcPr>
          <w:p>
            <w:pPr>
              <w:pStyle w:val="5"/>
              <w:adjustRightInd w:val="0"/>
              <w:snapToGrid w:val="0"/>
              <w:spacing w:after="0"/>
              <w:rPr>
                <w:rFonts w:hint="eastAsia" w:eastAsia="宋体"/>
                <w:b/>
                <w:bCs w:val="0"/>
                <w:color w:val="000000"/>
                <w:sz w:val="22"/>
                <w:szCs w:val="22"/>
              </w:rPr>
            </w:pPr>
            <w:r>
              <w:rPr>
                <w:rFonts w:hint="eastAsia" w:eastAsia="宋体"/>
                <w:b/>
                <w:bCs w:val="0"/>
                <w:color w:val="000000"/>
                <w:sz w:val="22"/>
                <w:szCs w:val="22"/>
              </w:rPr>
              <w:t>混合集中：</w:t>
            </w:r>
          </w:p>
          <w:p>
            <w:pPr>
              <w:pStyle w:val="5"/>
              <w:adjustRightInd w:val="0"/>
              <w:snapToGrid w:val="0"/>
              <w:spacing w:after="0"/>
              <w:rPr>
                <w:rFonts w:hint="eastAsia" w:eastAsia="宋体"/>
                <w:bCs/>
                <w:color w:val="000000"/>
                <w:sz w:val="22"/>
                <w:szCs w:val="22"/>
              </w:rPr>
            </w:pPr>
            <w:r>
              <w:rPr>
                <w:rFonts w:hint="eastAsia" w:eastAsia="宋体"/>
                <w:bCs/>
                <w:color w:val="000000"/>
                <w:sz w:val="22"/>
                <w:szCs w:val="22"/>
              </w:rPr>
              <w:t>2023年全球刚性多层印刷电路板市场：</w:t>
            </w:r>
          </w:p>
          <w:p>
            <w:pPr>
              <w:pStyle w:val="5"/>
              <w:adjustRightInd w:val="0"/>
              <w:snapToGrid w:val="0"/>
              <w:spacing w:after="0"/>
              <w:rPr>
                <w:rFonts w:hint="eastAsia" w:eastAsia="宋体"/>
                <w:bCs/>
                <w:color w:val="000000"/>
                <w:sz w:val="22"/>
                <w:szCs w:val="22"/>
                <w:lang w:val="en-US" w:eastAsia="zh-CN"/>
              </w:rPr>
            </w:pPr>
            <w:r>
              <w:rPr>
                <w:rFonts w:hint="eastAsia" w:eastAsia="宋体"/>
                <w:bCs/>
                <w:color w:val="000000"/>
                <w:sz w:val="22"/>
                <w:szCs w:val="22"/>
              </w:rPr>
              <w:t>世运电路：0-5%</w:t>
            </w:r>
          </w:p>
          <w:p>
            <w:pPr>
              <w:pStyle w:val="5"/>
              <w:adjustRightInd w:val="0"/>
              <w:snapToGrid w:val="0"/>
              <w:spacing w:after="0"/>
              <w:rPr>
                <w:rFonts w:hint="eastAsia" w:eastAsia="宋体"/>
                <w:bCs/>
                <w:color w:val="000000"/>
                <w:sz w:val="22"/>
                <w:szCs w:val="22"/>
              </w:rPr>
            </w:pPr>
            <w:r>
              <w:rPr>
                <w:rFonts w:hint="eastAsia" w:eastAsia="宋体"/>
                <w:bCs/>
                <w:color w:val="000000"/>
                <w:sz w:val="22"/>
                <w:szCs w:val="22"/>
              </w:rPr>
              <w:t>2023年全球刚挠印刷电路板市场：</w:t>
            </w:r>
          </w:p>
          <w:p>
            <w:pPr>
              <w:pStyle w:val="5"/>
              <w:adjustRightInd w:val="0"/>
              <w:snapToGrid w:val="0"/>
              <w:spacing w:after="0"/>
              <w:rPr>
                <w:bCs/>
                <w:color w:val="000000"/>
                <w:szCs w:val="21"/>
              </w:rPr>
            </w:pPr>
            <w:r>
              <w:rPr>
                <w:rFonts w:hint="eastAsia" w:eastAsia="宋体"/>
                <w:bCs/>
                <w:color w:val="000000"/>
                <w:sz w:val="22"/>
                <w:szCs w:val="22"/>
              </w:rPr>
              <w:t>世运电路：0-5%</w:t>
            </w:r>
          </w:p>
        </w:tc>
      </w:tr>
    </w:tbl>
    <w:p>
      <w:pPr>
        <w:widowControl/>
        <w:spacing w:after="240"/>
        <w:jc w:val="center"/>
        <w:rPr>
          <w:rFonts w:hint="default" w:ascii="Times New Roman" w:hAnsi="Times New Roman" w:eastAsia="方正小标宋简体" w:cs="Times New Roman"/>
          <w:bCs/>
          <w:kern w:val="0"/>
          <w:sz w:val="44"/>
          <w:szCs w:val="44"/>
          <w:lang w:val="en-GB" w:bidi="ar-AE"/>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  \* MERGEFORMAT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FF8C0F"/>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AD3526"/>
    <w:rsid w:val="3BF42FA2"/>
    <w:rsid w:val="3C1B3849"/>
    <w:rsid w:val="3DBE0E38"/>
    <w:rsid w:val="3DCF2C73"/>
    <w:rsid w:val="3E3B322A"/>
    <w:rsid w:val="3EB7365E"/>
    <w:rsid w:val="3EBE2D3F"/>
    <w:rsid w:val="3ED7D01C"/>
    <w:rsid w:val="3EE73D98"/>
    <w:rsid w:val="3F4F9D59"/>
    <w:rsid w:val="3FFFF7A9"/>
    <w:rsid w:val="40D7777E"/>
    <w:rsid w:val="41D779C0"/>
    <w:rsid w:val="436E421B"/>
    <w:rsid w:val="43E353FE"/>
    <w:rsid w:val="45E92E66"/>
    <w:rsid w:val="46845245"/>
    <w:rsid w:val="46F216C3"/>
    <w:rsid w:val="48567BBA"/>
    <w:rsid w:val="48604985"/>
    <w:rsid w:val="48C332AF"/>
    <w:rsid w:val="49857111"/>
    <w:rsid w:val="498A72A0"/>
    <w:rsid w:val="4C824703"/>
    <w:rsid w:val="4CC01CF8"/>
    <w:rsid w:val="4CFD75DE"/>
    <w:rsid w:val="4D533669"/>
    <w:rsid w:val="4D611881"/>
    <w:rsid w:val="4DB67BAD"/>
    <w:rsid w:val="4DBF710D"/>
    <w:rsid w:val="4E585190"/>
    <w:rsid w:val="4E626EA5"/>
    <w:rsid w:val="4F7D0643"/>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DF7AA8"/>
    <w:rsid w:val="5CC770F3"/>
    <w:rsid w:val="5DEF7AB3"/>
    <w:rsid w:val="5DF9348C"/>
    <w:rsid w:val="5DFF5221"/>
    <w:rsid w:val="5E606197"/>
    <w:rsid w:val="5E758AD3"/>
    <w:rsid w:val="5EFFEB53"/>
    <w:rsid w:val="5F5B3889"/>
    <w:rsid w:val="5F7404E1"/>
    <w:rsid w:val="5FCBF3E3"/>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FBAE0"/>
    <w:rsid w:val="6E372E5F"/>
    <w:rsid w:val="6E3FE820"/>
    <w:rsid w:val="6E786ABC"/>
    <w:rsid w:val="6F538C10"/>
    <w:rsid w:val="6FDF5799"/>
    <w:rsid w:val="710A7485"/>
    <w:rsid w:val="71394751"/>
    <w:rsid w:val="72131803"/>
    <w:rsid w:val="723024E6"/>
    <w:rsid w:val="73026B48"/>
    <w:rsid w:val="74566BED"/>
    <w:rsid w:val="74CE550B"/>
    <w:rsid w:val="767FE0B3"/>
    <w:rsid w:val="76AFBFF1"/>
    <w:rsid w:val="76CA40F3"/>
    <w:rsid w:val="77527FDF"/>
    <w:rsid w:val="77FFCFC3"/>
    <w:rsid w:val="78410251"/>
    <w:rsid w:val="793FB7A1"/>
    <w:rsid w:val="7A66B182"/>
    <w:rsid w:val="7A9C06E1"/>
    <w:rsid w:val="7AB91678"/>
    <w:rsid w:val="7B8F578C"/>
    <w:rsid w:val="7B9A66EF"/>
    <w:rsid w:val="7BCF7624"/>
    <w:rsid w:val="7BE411F0"/>
    <w:rsid w:val="7BFFD823"/>
    <w:rsid w:val="7C7918BC"/>
    <w:rsid w:val="7DFF5B1C"/>
    <w:rsid w:val="7EE72273"/>
    <w:rsid w:val="7EF7CDD2"/>
    <w:rsid w:val="7F7BEB9D"/>
    <w:rsid w:val="7FBF2495"/>
    <w:rsid w:val="7FDCAB43"/>
    <w:rsid w:val="7FE91E78"/>
    <w:rsid w:val="7FEED09F"/>
    <w:rsid w:val="7FFDE69B"/>
    <w:rsid w:val="9CBD0B1A"/>
    <w:rsid w:val="A7F9C1DE"/>
    <w:rsid w:val="ADFAC79E"/>
    <w:rsid w:val="B593FB7D"/>
    <w:rsid w:val="B9B92832"/>
    <w:rsid w:val="BB4BBFF6"/>
    <w:rsid w:val="BBF250E9"/>
    <w:rsid w:val="BCB7048F"/>
    <w:rsid w:val="BEAF73DD"/>
    <w:rsid w:val="BF8E36EE"/>
    <w:rsid w:val="BFDFB85E"/>
    <w:rsid w:val="BFF739EC"/>
    <w:rsid w:val="C3F5BA26"/>
    <w:rsid w:val="D5DB8D8A"/>
    <w:rsid w:val="DDEFBA43"/>
    <w:rsid w:val="DEAFB90F"/>
    <w:rsid w:val="DF21B821"/>
    <w:rsid w:val="DFD76A11"/>
    <w:rsid w:val="DFFF765E"/>
    <w:rsid w:val="E5DFA466"/>
    <w:rsid w:val="E9F71F09"/>
    <w:rsid w:val="EAFD8D58"/>
    <w:rsid w:val="EB6C770B"/>
    <w:rsid w:val="EBCD181E"/>
    <w:rsid w:val="EFFFDD70"/>
    <w:rsid w:val="F1B778F1"/>
    <w:rsid w:val="F3FF743F"/>
    <w:rsid w:val="F4FF55F7"/>
    <w:rsid w:val="F7FD911C"/>
    <w:rsid w:val="F9DF2CA6"/>
    <w:rsid w:val="FB3326CC"/>
    <w:rsid w:val="FBCE4D19"/>
    <w:rsid w:val="FDBF10AA"/>
    <w:rsid w:val="FED29D38"/>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8"/>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7"/>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8"/>
    <w:qFormat/>
    <w:uiPriority w:val="0"/>
    <w:rPr>
      <w:rFonts w:ascii="Times New Roman" w:hAnsi="Times New Roman" w:eastAsia="宋体" w:cs="Times New Roman"/>
      <w:kern w:val="2"/>
      <w:sz w:val="18"/>
      <w:szCs w:val="18"/>
    </w:rPr>
  </w:style>
  <w:style w:type="character" w:customStyle="1" w:styleId="17">
    <w:name w:val="页脚 字符"/>
    <w:basedOn w:val="12"/>
    <w:link w:val="7"/>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7"/>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1707</Words>
  <Characters>1813</Characters>
  <Lines>1</Lines>
  <Paragraphs>1</Paragraphs>
  <TotalTime>3</TotalTime>
  <ScaleCrop>false</ScaleCrop>
  <LinksUpToDate>false</LinksUpToDate>
  <CharactersWithSpaces>1998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2023-02-26T17:34:00Z</dcterms:created>
  <dc:creator>张斌（反垄断处）</dc:creator>
  <cp:lastModifiedBy>scj</cp:lastModifiedBy>
  <cp:lastPrinted>2024-04-05T09:34:00Z</cp:lastPrinted>
  <dcterms:modified xsi:type="dcterms:W3CDTF">2024-08-09T16:57:37Z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4E3C4726E290A80A216DA366ECBAFC18</vt:lpwstr>
  </property>
</Properties>
</file>