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</w:pPr>
      <w:bookmarkStart w:id="0" w:name="_GoBack"/>
      <w:bookmarkEnd w:id="0"/>
      <w:r>
        <w:rPr>
          <w:rFonts w:hint="default" w:ascii="Times New Roman" w:hAnsi="Times New Roman" w:eastAsia="黑体" w:cs="Times New Roman"/>
          <w:bCs/>
          <w:sz w:val="44"/>
          <w:szCs w:val="44"/>
          <w:lang w:val="en-US" w:eastAsia="zh-CN"/>
        </w:rPr>
        <w:t xml:space="preserve"> </w:t>
      </w:r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2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eastAsia="宋体"/>
                <w:bCs/>
                <w:color w:val="000000"/>
                <w:sz w:val="22"/>
                <w:szCs w:val="22"/>
                <w:lang w:val="en-US"/>
              </w:rPr>
              <w:t>深圳锦江酒店管理有限公司与雅诗阁物业管理（上海）有限公司新设合营企业案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5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交易概况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eastAsia" w:eastAsia="宋体"/>
                <w:bCs/>
                <w:color w:val="000000"/>
                <w:sz w:val="22"/>
                <w:szCs w:val="22"/>
                <w:lang w:val="en-US"/>
              </w:rPr>
              <w:t>深圳锦江酒店管理有限公司（“</w:t>
            </w:r>
            <w:r>
              <w:rPr>
                <w:rFonts w:hint="eastAsia" w:eastAsia="宋体"/>
                <w:b w:val="0"/>
                <w:bCs/>
                <w:color w:val="000000"/>
                <w:sz w:val="22"/>
                <w:szCs w:val="22"/>
                <w:lang w:val="en-US"/>
              </w:rPr>
              <w:t>锦江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val="en-US"/>
              </w:rPr>
              <w:t>”）与雅诗阁物业管理（上海）有限公司（“</w:t>
            </w:r>
            <w:r>
              <w:rPr>
                <w:rFonts w:hint="eastAsia" w:eastAsia="宋体"/>
                <w:b w:val="0"/>
                <w:bCs/>
                <w:color w:val="000000"/>
                <w:sz w:val="22"/>
                <w:szCs w:val="22"/>
                <w:lang w:val="en-US"/>
              </w:rPr>
              <w:t>雅诗阁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val="en-US"/>
              </w:rPr>
              <w:t>”）签署《股东协议》，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val="en-US" w:eastAsia="zh-CN"/>
              </w:rPr>
              <w:t>拟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val="en-US"/>
              </w:rPr>
              <w:t>共同新设一家合营企业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val="en-US" w:eastAsia="zh-CN"/>
              </w:rPr>
              <w:t>，</w:t>
            </w:r>
            <w:r>
              <w:rPr>
                <w:rFonts w:hint="eastAsia"/>
                <w:bCs/>
                <w:color w:val="000000"/>
                <w:sz w:val="22"/>
                <w:szCs w:val="22"/>
                <w:lang w:val="en-US" w:eastAsia="zh-CN"/>
              </w:rPr>
              <w:t>该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val="en-US"/>
              </w:rPr>
              <w:t>合营企业</w:t>
            </w:r>
            <w:r>
              <w:rPr>
                <w:rFonts w:hint="eastAsia"/>
                <w:bCs/>
                <w:color w:val="000000"/>
                <w:sz w:val="22"/>
                <w:szCs w:val="22"/>
                <w:lang w:val="en-US" w:eastAsia="zh-CN"/>
              </w:rPr>
              <w:t>主要从事运营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val="en-US"/>
              </w:rPr>
              <w:t>服务式公寓</w:t>
            </w:r>
            <w:r>
              <w:rPr>
                <w:rFonts w:hint="eastAsia"/>
                <w:bCs/>
                <w:color w:val="000000"/>
                <w:sz w:val="22"/>
                <w:szCs w:val="22"/>
                <w:lang w:val="en-US" w:eastAsia="zh-CN"/>
              </w:rPr>
              <w:t>等业务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val="en-US"/>
              </w:rPr>
              <w:t>。交易后，锦江和雅诗阁将</w:t>
            </w:r>
            <w:r>
              <w:rPr>
                <w:rFonts w:hint="eastAsia"/>
                <w:bCs/>
                <w:color w:val="000000"/>
                <w:sz w:val="22"/>
                <w:szCs w:val="22"/>
                <w:lang w:val="en-US" w:eastAsia="zh-CN"/>
              </w:rPr>
              <w:t>分别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val="en-US"/>
              </w:rPr>
              <w:t>持有合营企业50%的股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val="en-US" w:eastAsia="zh-CN"/>
              </w:rPr>
              <w:t>权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val="en-US"/>
              </w:rPr>
              <w:t>，共同控制合营企业。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参与集中的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经营者简介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（每个限100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字以内）</w:t>
            </w:r>
          </w:p>
        </w:tc>
        <w:tc>
          <w:tcPr>
            <w:tcW w:w="1607" w:type="dxa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1.</w:t>
            </w:r>
            <w:r>
              <w:rPr>
                <w:rFonts w:hint="eastAsia" w:cs="Times New Roman"/>
                <w:bCs/>
                <w:color w:val="000000"/>
                <w:sz w:val="22"/>
                <w:szCs w:val="22"/>
                <w:lang w:eastAsia="zh-CN"/>
              </w:rPr>
              <w:t>锦江</w:t>
            </w:r>
          </w:p>
        </w:tc>
        <w:tc>
          <w:tcPr>
            <w:tcW w:w="6093" w:type="dxa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rFonts w:eastAsiaTheme="minorEastAsia"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eastAsiaTheme="minorEastAsia"/>
                <w:bCs/>
                <w:color w:val="000000"/>
                <w:sz w:val="22"/>
                <w:szCs w:val="22"/>
                <w:lang w:val="en-US"/>
              </w:rPr>
              <w:t>锦江</w:t>
            </w:r>
            <w:r>
              <w:rPr>
                <w:rFonts w:eastAsiaTheme="minorEastAsia"/>
                <w:bCs/>
                <w:color w:val="000000"/>
                <w:sz w:val="22"/>
                <w:szCs w:val="22"/>
                <w:lang w:val="en-US"/>
              </w:rPr>
              <w:t>于</w:t>
            </w:r>
            <w:r>
              <w:rPr>
                <w:rFonts w:hint="default" w:eastAsiaTheme="minorEastAsia"/>
                <w:bCs/>
                <w:color w:val="000000"/>
                <w:sz w:val="22"/>
                <w:szCs w:val="22"/>
                <w:lang w:val="en-US"/>
              </w:rPr>
              <w:t>2020</w:t>
            </w:r>
            <w:r>
              <w:rPr>
                <w:rFonts w:eastAsiaTheme="minorEastAsia"/>
                <w:bCs/>
                <w:color w:val="000000"/>
                <w:sz w:val="22"/>
                <w:szCs w:val="22"/>
                <w:lang w:val="en-US"/>
              </w:rPr>
              <w:t>年</w:t>
            </w:r>
            <w:r>
              <w:rPr>
                <w:rFonts w:hint="default" w:eastAsiaTheme="minorEastAsia"/>
                <w:bCs/>
                <w:color w:val="000000"/>
                <w:sz w:val="22"/>
                <w:szCs w:val="22"/>
                <w:lang w:val="en-US"/>
              </w:rPr>
              <w:t>9</w:t>
            </w:r>
            <w:r>
              <w:rPr>
                <w:rFonts w:eastAsiaTheme="minorEastAsia"/>
                <w:bCs/>
                <w:color w:val="000000"/>
                <w:sz w:val="22"/>
                <w:szCs w:val="22"/>
                <w:lang w:val="en-US"/>
              </w:rPr>
              <w:t>月</w:t>
            </w:r>
            <w:r>
              <w:rPr>
                <w:rFonts w:hint="default" w:eastAsiaTheme="minorEastAsia"/>
                <w:bCs/>
                <w:color w:val="000000"/>
                <w:sz w:val="22"/>
                <w:szCs w:val="22"/>
                <w:lang w:val="en-US"/>
              </w:rPr>
              <w:t>7</w:t>
            </w:r>
            <w:r>
              <w:rPr>
                <w:rFonts w:eastAsiaTheme="minorEastAsia"/>
                <w:bCs/>
                <w:color w:val="000000"/>
                <w:sz w:val="22"/>
                <w:szCs w:val="22"/>
                <w:lang w:val="en-US"/>
              </w:rPr>
              <w:t>日成立于</w:t>
            </w:r>
            <w:r>
              <w:rPr>
                <w:rFonts w:hint="default" w:eastAsiaTheme="minorEastAsia"/>
                <w:bCs/>
                <w:color w:val="000000"/>
                <w:sz w:val="22"/>
                <w:szCs w:val="22"/>
                <w:lang w:val="en-US"/>
              </w:rPr>
              <w:t>广东省</w:t>
            </w:r>
            <w:r>
              <w:rPr>
                <w:rFonts w:eastAsiaTheme="minorEastAsia"/>
                <w:bCs/>
                <w:color w:val="000000"/>
                <w:sz w:val="22"/>
                <w:szCs w:val="22"/>
                <w:lang w:val="en-US"/>
              </w:rPr>
              <w:t>，</w:t>
            </w:r>
            <w:r>
              <w:rPr>
                <w:rFonts w:hint="default" w:eastAsiaTheme="minorEastAsia"/>
                <w:bCs/>
                <w:color w:val="000000"/>
                <w:sz w:val="22"/>
                <w:szCs w:val="22"/>
                <w:lang w:val="en-US"/>
              </w:rPr>
              <w:t>其为管理平台，不对外从事任何实际业务</w:t>
            </w:r>
            <w:r>
              <w:rPr>
                <w:rFonts w:eastAsiaTheme="minorEastAsia"/>
                <w:bCs/>
                <w:color w:val="000000"/>
                <w:sz w:val="22"/>
                <w:szCs w:val="22"/>
                <w:lang w:val="en-US"/>
              </w:rPr>
              <w:t>。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eastAsia="zh-CN"/>
              </w:rPr>
            </w:pPr>
            <w:r>
              <w:rPr>
                <w:rFonts w:hint="default" w:cs="Times New Roman" w:eastAsiaTheme="minorEastAsia"/>
                <w:bCs/>
                <w:color w:val="000000"/>
                <w:sz w:val="22"/>
                <w:szCs w:val="22"/>
                <w:lang w:val="en-US" w:eastAsia="zh-CN"/>
              </w:rPr>
              <w:t>锦江的最终控制人为锦江国际（集团）有限公司，主要</w:t>
            </w:r>
            <w:r>
              <w:rPr>
                <w:rFonts w:hint="eastAsia" w:cs="Times New Roman" w:eastAsiaTheme="minorEastAsia"/>
                <w:bCs/>
                <w:color w:val="000000"/>
                <w:sz w:val="22"/>
                <w:szCs w:val="22"/>
                <w:lang w:val="en-US" w:eastAsia="zh-CN"/>
              </w:rPr>
              <w:t>从事</w:t>
            </w:r>
            <w:r>
              <w:rPr>
                <w:rFonts w:hint="default" w:cs="Times New Roman" w:eastAsiaTheme="minorEastAsia"/>
                <w:bCs/>
                <w:color w:val="000000"/>
                <w:sz w:val="22"/>
                <w:szCs w:val="22"/>
                <w:lang w:val="en-US" w:eastAsia="zh-CN"/>
              </w:rPr>
              <w:t>酒店、旅游、客运</w:t>
            </w:r>
            <w:r>
              <w:rPr>
                <w:rFonts w:hint="eastAsia" w:cs="Times New Roman" w:eastAsiaTheme="minorEastAsia"/>
                <w:bCs/>
                <w:color w:val="000000"/>
                <w:sz w:val="22"/>
                <w:szCs w:val="22"/>
                <w:lang w:val="en-US" w:eastAsia="zh-CN"/>
              </w:rPr>
              <w:t>等业务</w:t>
            </w:r>
            <w:r>
              <w:rPr>
                <w:rFonts w:hint="default" w:cs="Times New Roman" w:eastAsiaTheme="minorEastAsia"/>
                <w:bCs/>
                <w:color w:val="000000"/>
                <w:sz w:val="22"/>
                <w:szCs w:val="22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2.</w:t>
            </w:r>
            <w:r>
              <w:rPr>
                <w:rFonts w:hint="eastAsia" w:cs="Times New Roman"/>
                <w:bCs/>
                <w:color w:val="000000"/>
                <w:sz w:val="22"/>
                <w:szCs w:val="22"/>
                <w:lang w:eastAsia="zh-CN"/>
              </w:rPr>
              <w:t>雅诗阁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spacing w:after="0"/>
              <w:rPr>
                <w:rFonts w:eastAsiaTheme="minorEastAsia"/>
                <w:sz w:val="22"/>
                <w:szCs w:val="22"/>
              </w:rPr>
            </w:pPr>
            <w:r>
              <w:rPr>
                <w:rFonts w:hint="default" w:eastAsiaTheme="minorEastAsia"/>
                <w:sz w:val="22"/>
                <w:szCs w:val="22"/>
              </w:rPr>
              <w:t>雅诗阁</w:t>
            </w:r>
            <w:r>
              <w:rPr>
                <w:rFonts w:eastAsiaTheme="minorEastAsia"/>
                <w:sz w:val="22"/>
                <w:szCs w:val="22"/>
              </w:rPr>
              <w:t>于</w:t>
            </w:r>
            <w:r>
              <w:rPr>
                <w:rFonts w:hint="default" w:eastAsiaTheme="minorEastAsia"/>
                <w:sz w:val="22"/>
                <w:szCs w:val="22"/>
              </w:rPr>
              <w:t>2000</w:t>
            </w:r>
            <w:r>
              <w:rPr>
                <w:rFonts w:eastAsiaTheme="minorEastAsia"/>
                <w:sz w:val="22"/>
                <w:szCs w:val="22"/>
              </w:rPr>
              <w:t>年</w:t>
            </w:r>
            <w:r>
              <w:rPr>
                <w:rFonts w:hint="default" w:eastAsiaTheme="minorEastAsia"/>
                <w:sz w:val="22"/>
                <w:szCs w:val="22"/>
              </w:rPr>
              <w:t>9</w:t>
            </w:r>
            <w:r>
              <w:rPr>
                <w:rFonts w:eastAsiaTheme="minorEastAsia"/>
                <w:sz w:val="22"/>
                <w:szCs w:val="22"/>
              </w:rPr>
              <w:t>月</w:t>
            </w:r>
            <w:r>
              <w:rPr>
                <w:rFonts w:hint="default" w:eastAsiaTheme="minorEastAsia"/>
                <w:sz w:val="22"/>
                <w:szCs w:val="22"/>
              </w:rPr>
              <w:t>7</w:t>
            </w:r>
            <w:r>
              <w:rPr>
                <w:rFonts w:eastAsiaTheme="minorEastAsia"/>
                <w:sz w:val="22"/>
                <w:szCs w:val="22"/>
              </w:rPr>
              <w:t>日成立于</w:t>
            </w:r>
            <w:r>
              <w:rPr>
                <w:rFonts w:hint="default" w:eastAsiaTheme="minorEastAsia"/>
                <w:sz w:val="22"/>
                <w:szCs w:val="22"/>
              </w:rPr>
              <w:t>上海市</w:t>
            </w:r>
            <w:r>
              <w:rPr>
                <w:rFonts w:eastAsiaTheme="minorEastAsia"/>
                <w:sz w:val="22"/>
                <w:szCs w:val="22"/>
              </w:rPr>
              <w:t>，</w:t>
            </w:r>
            <w:r>
              <w:rPr>
                <w:rFonts w:hint="eastAsia" w:eastAsiaTheme="minorEastAsia"/>
                <w:sz w:val="22"/>
                <w:szCs w:val="22"/>
                <w:lang w:eastAsia="zh-CN"/>
              </w:rPr>
              <w:t>主要</w:t>
            </w:r>
            <w:r>
              <w:rPr>
                <w:rFonts w:hint="default" w:eastAsiaTheme="minorEastAsia"/>
                <w:sz w:val="22"/>
                <w:szCs w:val="22"/>
              </w:rPr>
              <w:t>从事旅宿管理业务</w:t>
            </w:r>
            <w:r>
              <w:rPr>
                <w:rFonts w:eastAsiaTheme="minorEastAsia"/>
                <w:sz w:val="22"/>
                <w:szCs w:val="22"/>
              </w:rPr>
              <w:t>。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eastAsia="zh-CN"/>
              </w:rPr>
            </w:pPr>
            <w:r>
              <w:rPr>
                <w:rFonts w:hint="default" w:eastAsiaTheme="minorEastAsia"/>
                <w:sz w:val="22"/>
                <w:szCs w:val="22"/>
                <w:lang w:val="en-US"/>
              </w:rPr>
              <w:t>雅诗阁的最终控制人为凯德投资有限公司，主要在全球范围内开展房地产投资管理业务。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简易案件理由（可以单选，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/>
                <w:b/>
                <w:color w:val="000000"/>
                <w:sz w:val="22"/>
                <w:szCs w:val="22"/>
                <w:lang w:eastAsia="zh-CN" w:bidi="ar-AE"/>
              </w:rPr>
            </w:pPr>
            <w:r>
              <w:rPr>
                <w:rFonts w:hint="default"/>
                <w:b/>
                <w:color w:val="000000"/>
                <w:sz w:val="22"/>
                <w:szCs w:val="22"/>
                <w:lang w:eastAsia="zh-CN" w:bidi="ar-AE"/>
              </w:rPr>
              <w:t>横向重叠：</w:t>
            </w:r>
          </w:p>
          <w:tbl>
            <w:tblPr>
              <w:tblStyle w:val="12"/>
              <w:tblW w:w="8619" w:type="dxa"/>
              <w:tblInd w:w="0" w:type="dxa"/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850"/>
              <w:gridCol w:w="1971"/>
              <w:gridCol w:w="2583"/>
            </w:tblGrid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5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相关商品市场</w:t>
                  </w:r>
                </w:p>
              </w:tc>
              <w:tc>
                <w:tcPr>
                  <w:tcW w:w="197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相关地域市场</w:t>
                  </w:r>
                </w:p>
              </w:tc>
              <w:tc>
                <w:tcPr>
                  <w:tcW w:w="258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2023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年市场份额</w:t>
                  </w:r>
                </w:p>
              </w:tc>
            </w:tr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5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cs="Times New Roman" w:eastAsiaTheme="minorEastAsia"/>
                      <w:bCs/>
                      <w:color w:val="000000"/>
                      <w:sz w:val="22"/>
                      <w:szCs w:val="22"/>
                      <w:lang w:eastAsia="zh-CN"/>
                    </w:rPr>
                    <w:t>四星级/高档型住宿服务市场</w:t>
                  </w:r>
                </w:p>
              </w:tc>
              <w:tc>
                <w:tcPr>
                  <w:tcW w:w="197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北京市</w:t>
                  </w:r>
                </w:p>
              </w:tc>
              <w:tc>
                <w:tcPr>
                  <w:tcW w:w="258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锦江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：0-5%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雅诗阁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：0-5%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双方合计：0-5%</w:t>
                  </w:r>
                </w:p>
              </w:tc>
            </w:tr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5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cs="Times New Roman" w:eastAsiaTheme="minorEastAsia"/>
                      <w:bCs/>
                      <w:color w:val="000000"/>
                      <w:sz w:val="22"/>
                      <w:szCs w:val="22"/>
                      <w:lang w:eastAsia="zh-CN"/>
                    </w:rPr>
                    <w:t>四星级/高档型住宿服务市场</w:t>
                  </w:r>
                </w:p>
              </w:tc>
              <w:tc>
                <w:tcPr>
                  <w:tcW w:w="197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上海市</w:t>
                  </w:r>
                </w:p>
                <w:p/>
              </w:tc>
              <w:tc>
                <w:tcPr>
                  <w:tcW w:w="258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锦江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：</w:t>
                  </w: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5%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-</w:t>
                  </w: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10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%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雅诗阁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：0-5%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双方合计：</w:t>
                  </w: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1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0</w:t>
                  </w: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%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-</w:t>
                  </w: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1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5%</w:t>
                  </w:r>
                </w:p>
              </w:tc>
            </w:tr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5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hint="default" w:cs="Times New Roman" w:eastAsiaTheme="minorEastAsia"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default" w:cs="Times New Roman" w:eastAsiaTheme="minorEastAsia"/>
                      <w:bCs/>
                      <w:color w:val="000000"/>
                      <w:sz w:val="22"/>
                      <w:szCs w:val="22"/>
                      <w:lang w:eastAsia="zh-CN"/>
                    </w:rPr>
                    <w:t>四星级/高档型住宿服务市场</w:t>
                  </w:r>
                </w:p>
              </w:tc>
              <w:tc>
                <w:tcPr>
                  <w:tcW w:w="197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rPr>
                      <w:rFonts w:hint="eastAsia" w:eastAsia="宋体"/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深圳市</w:t>
                  </w:r>
                </w:p>
              </w:tc>
              <w:tc>
                <w:tcPr>
                  <w:tcW w:w="258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锦江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：</w:t>
                  </w: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1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0</w:t>
                  </w: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%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-</w:t>
                  </w: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1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5%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雅诗阁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：0-5%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双方合计：</w:t>
                  </w: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1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0</w:t>
                  </w: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%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-</w:t>
                  </w: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1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5%</w:t>
                  </w:r>
                </w:p>
              </w:tc>
            </w:tr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5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hint="default" w:cs="Times New Roman" w:eastAsiaTheme="minorEastAsia"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default" w:cs="Times New Roman" w:eastAsiaTheme="minorEastAsia"/>
                      <w:bCs/>
                      <w:color w:val="000000"/>
                      <w:sz w:val="22"/>
                      <w:szCs w:val="22"/>
                      <w:lang w:eastAsia="zh-CN"/>
                    </w:rPr>
                    <w:t>四星级/高档型住宿服务市场</w:t>
                  </w:r>
                </w:p>
              </w:tc>
              <w:tc>
                <w:tcPr>
                  <w:tcW w:w="197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rPr>
                      <w:rFonts w:hint="eastAsia" w:eastAsia="宋体"/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广州市</w:t>
                  </w:r>
                </w:p>
              </w:tc>
              <w:tc>
                <w:tcPr>
                  <w:tcW w:w="258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锦江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：</w:t>
                  </w: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5%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-</w:t>
                  </w: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10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%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雅诗阁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：0-5%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双方合计：</w:t>
                  </w: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5%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-</w:t>
                  </w:r>
                  <w:r>
                    <w:rPr>
                      <w:rFonts w:hint="eastAsia" w:cs="Times New Roman" w:eastAsiaTheme="minorEastAsia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10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%</w:t>
                  </w:r>
                </w:p>
              </w:tc>
            </w:tr>
          </w:tbl>
          <w:p>
            <w:pPr>
              <w:pStyle w:val="8"/>
              <w:ind w:firstLine="0" w:firstLineChars="0"/>
              <w:rPr>
                <w:rFonts w:hint="eastAsia"/>
                <w:lang w:eastAsia="zh-CN"/>
              </w:rPr>
            </w:pPr>
          </w:p>
        </w:tc>
      </w:tr>
    </w:tbl>
    <w:p>
      <w:pPr>
        <w:rPr>
          <w:rFonts w:hint="default" w:ascii="Times New Roman" w:hAnsi="Times New Roman" w:cs="Times New Roman" w:eastAsiaTheme="minor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CYa0m4aAgAAKQ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E526A7"/>
    <w:rsid w:val="0E5C7E9D"/>
    <w:rsid w:val="0EEC791B"/>
    <w:rsid w:val="0F272A69"/>
    <w:rsid w:val="0FA436B7"/>
    <w:rsid w:val="0FBBC6D8"/>
    <w:rsid w:val="10C02711"/>
    <w:rsid w:val="12ED74AA"/>
    <w:rsid w:val="130B6D76"/>
    <w:rsid w:val="13236AF1"/>
    <w:rsid w:val="13D6674E"/>
    <w:rsid w:val="150C1E94"/>
    <w:rsid w:val="15D94F21"/>
    <w:rsid w:val="15E47716"/>
    <w:rsid w:val="1680064E"/>
    <w:rsid w:val="17436509"/>
    <w:rsid w:val="1AA11230"/>
    <w:rsid w:val="1B2D6269"/>
    <w:rsid w:val="1BF9394B"/>
    <w:rsid w:val="1BF9AB71"/>
    <w:rsid w:val="1C361957"/>
    <w:rsid w:val="1DA24124"/>
    <w:rsid w:val="1DFE30C6"/>
    <w:rsid w:val="1FC81833"/>
    <w:rsid w:val="20C2797E"/>
    <w:rsid w:val="215B059A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DFF8C0F"/>
    <w:rsid w:val="2ECF569F"/>
    <w:rsid w:val="2F0902B7"/>
    <w:rsid w:val="3025112D"/>
    <w:rsid w:val="319E78FD"/>
    <w:rsid w:val="339B1A7D"/>
    <w:rsid w:val="34527864"/>
    <w:rsid w:val="356065C1"/>
    <w:rsid w:val="35741F7B"/>
    <w:rsid w:val="35927D49"/>
    <w:rsid w:val="36647739"/>
    <w:rsid w:val="36722108"/>
    <w:rsid w:val="37736187"/>
    <w:rsid w:val="37EC4B4C"/>
    <w:rsid w:val="3A7D25F4"/>
    <w:rsid w:val="3B6C128B"/>
    <w:rsid w:val="3BF42FA2"/>
    <w:rsid w:val="3C1B3849"/>
    <w:rsid w:val="3DBE0E38"/>
    <w:rsid w:val="3DCF2C73"/>
    <w:rsid w:val="3E3B322A"/>
    <w:rsid w:val="3EB7365E"/>
    <w:rsid w:val="3EBE2D3F"/>
    <w:rsid w:val="3ED7D01C"/>
    <w:rsid w:val="3EE73D98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C824703"/>
    <w:rsid w:val="4CC01CF8"/>
    <w:rsid w:val="4CFD75DE"/>
    <w:rsid w:val="4D533669"/>
    <w:rsid w:val="4D611881"/>
    <w:rsid w:val="4DB67BAD"/>
    <w:rsid w:val="4DBF710D"/>
    <w:rsid w:val="4E585190"/>
    <w:rsid w:val="4E626EA5"/>
    <w:rsid w:val="4F7D0643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A320350"/>
    <w:rsid w:val="5A4E1134"/>
    <w:rsid w:val="5A8F5421"/>
    <w:rsid w:val="5AB377AC"/>
    <w:rsid w:val="5ADB7A9F"/>
    <w:rsid w:val="5BDF7AA8"/>
    <w:rsid w:val="5CC770F3"/>
    <w:rsid w:val="5DFF5221"/>
    <w:rsid w:val="5E606197"/>
    <w:rsid w:val="5E758AD3"/>
    <w:rsid w:val="5EFFEB53"/>
    <w:rsid w:val="5F5B3889"/>
    <w:rsid w:val="5F7404E1"/>
    <w:rsid w:val="60B85CFA"/>
    <w:rsid w:val="61AC7C2D"/>
    <w:rsid w:val="61F32521"/>
    <w:rsid w:val="63F6661D"/>
    <w:rsid w:val="64F94FB6"/>
    <w:rsid w:val="64FF0119"/>
    <w:rsid w:val="650C61D5"/>
    <w:rsid w:val="65183212"/>
    <w:rsid w:val="65AC0421"/>
    <w:rsid w:val="67090219"/>
    <w:rsid w:val="6754015D"/>
    <w:rsid w:val="67885F66"/>
    <w:rsid w:val="67D469E8"/>
    <w:rsid w:val="685D233B"/>
    <w:rsid w:val="69C0748D"/>
    <w:rsid w:val="69D3998A"/>
    <w:rsid w:val="6A7D30C3"/>
    <w:rsid w:val="6B9261CD"/>
    <w:rsid w:val="6B9A71CB"/>
    <w:rsid w:val="6BCB1BF4"/>
    <w:rsid w:val="6BCC0CB3"/>
    <w:rsid w:val="6C45316D"/>
    <w:rsid w:val="6CBF87B4"/>
    <w:rsid w:val="6DEFBAE0"/>
    <w:rsid w:val="6E372E5F"/>
    <w:rsid w:val="6E3FE820"/>
    <w:rsid w:val="6E786ABC"/>
    <w:rsid w:val="6F538C10"/>
    <w:rsid w:val="6FDF5799"/>
    <w:rsid w:val="710A7485"/>
    <w:rsid w:val="71394751"/>
    <w:rsid w:val="72131803"/>
    <w:rsid w:val="723024E6"/>
    <w:rsid w:val="73026B48"/>
    <w:rsid w:val="73FEEB6C"/>
    <w:rsid w:val="74566BED"/>
    <w:rsid w:val="74CE550B"/>
    <w:rsid w:val="74FA9F2D"/>
    <w:rsid w:val="755F49C7"/>
    <w:rsid w:val="767FE0B3"/>
    <w:rsid w:val="76AFBFF1"/>
    <w:rsid w:val="76CA40F3"/>
    <w:rsid w:val="77527FDF"/>
    <w:rsid w:val="77997569"/>
    <w:rsid w:val="77AFF4F6"/>
    <w:rsid w:val="77FF6A8C"/>
    <w:rsid w:val="77FFCFC3"/>
    <w:rsid w:val="78410251"/>
    <w:rsid w:val="793FB7A1"/>
    <w:rsid w:val="7A66B182"/>
    <w:rsid w:val="7A9C06E1"/>
    <w:rsid w:val="7AB91678"/>
    <w:rsid w:val="7B7BE66B"/>
    <w:rsid w:val="7B8F578C"/>
    <w:rsid w:val="7B9A66EF"/>
    <w:rsid w:val="7BE411F0"/>
    <w:rsid w:val="7BFFD823"/>
    <w:rsid w:val="7C7918BC"/>
    <w:rsid w:val="7EE72273"/>
    <w:rsid w:val="7EF7CDD2"/>
    <w:rsid w:val="7F4F7889"/>
    <w:rsid w:val="7F7BEB9D"/>
    <w:rsid w:val="7FBF2495"/>
    <w:rsid w:val="7FDCAB43"/>
    <w:rsid w:val="7FE15510"/>
    <w:rsid w:val="7FE91E78"/>
    <w:rsid w:val="7FFDE69B"/>
    <w:rsid w:val="9CBD0B1A"/>
    <w:rsid w:val="A7F9C1DE"/>
    <w:rsid w:val="A9AD231D"/>
    <w:rsid w:val="ADFAC79E"/>
    <w:rsid w:val="AE7E1E17"/>
    <w:rsid w:val="AFA6DE92"/>
    <w:rsid w:val="B4FDF1E3"/>
    <w:rsid w:val="B593FB7D"/>
    <w:rsid w:val="B77D8EA8"/>
    <w:rsid w:val="B9B92832"/>
    <w:rsid w:val="BCB7048F"/>
    <w:rsid w:val="BCF89F06"/>
    <w:rsid w:val="BEAF73DD"/>
    <w:rsid w:val="BF8E36EE"/>
    <w:rsid w:val="BFDFB85E"/>
    <w:rsid w:val="BFF739EC"/>
    <w:rsid w:val="C3F5BA26"/>
    <w:rsid w:val="D5DB8D8A"/>
    <w:rsid w:val="D76F54F7"/>
    <w:rsid w:val="DDEFBA43"/>
    <w:rsid w:val="DEAFB90F"/>
    <w:rsid w:val="DF21B821"/>
    <w:rsid w:val="DFD76A11"/>
    <w:rsid w:val="E7FFE685"/>
    <w:rsid w:val="E9F71F09"/>
    <w:rsid w:val="EAFD8D58"/>
    <w:rsid w:val="EB6C770B"/>
    <w:rsid w:val="EBCD181E"/>
    <w:rsid w:val="EFFFDD70"/>
    <w:rsid w:val="F1B778F1"/>
    <w:rsid w:val="F3FF743F"/>
    <w:rsid w:val="F4FF55F7"/>
    <w:rsid w:val="F7EFF966"/>
    <w:rsid w:val="F7FD911C"/>
    <w:rsid w:val="F9DF2CA6"/>
    <w:rsid w:val="FB3326CC"/>
    <w:rsid w:val="FBCE4D19"/>
    <w:rsid w:val="FBFE1D07"/>
    <w:rsid w:val="FDBF10AA"/>
    <w:rsid w:val="FE5FA0A2"/>
    <w:rsid w:val="FEAEC70B"/>
    <w:rsid w:val="FEEBA380"/>
    <w:rsid w:val="FF57FBD6"/>
    <w:rsid w:val="FF79F9CF"/>
    <w:rsid w:val="FFB70466"/>
    <w:rsid w:val="FFBC3961"/>
    <w:rsid w:val="FFCF003E"/>
    <w:rsid w:val="FFEE6CF6"/>
    <w:rsid w:val="FFFF3A53"/>
    <w:rsid w:val="FFFF9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4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customStyle="1" w:styleId="4">
    <w:name w:val="名称2"/>
    <w:basedOn w:val="5"/>
    <w:qFormat/>
    <w:uiPriority w:val="0"/>
    <w:pPr>
      <w:spacing w:after="312" w:afterLines="100"/>
    </w:pPr>
    <w:rPr>
      <w:b w:val="0"/>
      <w:sz w:val="20"/>
    </w:rPr>
  </w:style>
  <w:style w:type="paragraph" w:customStyle="1" w:styleId="5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"/>
    <w:basedOn w:val="1"/>
    <w:next w:val="8"/>
    <w:link w:val="18"/>
    <w:unhideWhenUsed/>
    <w:qFormat/>
    <w:uiPriority w:val="99"/>
    <w:pPr>
      <w:spacing w:after="120"/>
    </w:pPr>
  </w:style>
  <w:style w:type="paragraph" w:styleId="8">
    <w:name w:val="Body Text First Indent"/>
    <w:basedOn w:val="7"/>
    <w:qFormat/>
    <w:uiPriority w:val="0"/>
    <w:pPr>
      <w:ind w:firstLine="420" w:firstLineChars="100"/>
    </w:pPr>
  </w:style>
  <w:style w:type="paragraph" w:styleId="9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table" w:styleId="13">
    <w:name w:val="Table Grid"/>
    <w:basedOn w:val="1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5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customStyle="1" w:styleId="16">
    <w:name w:val="页眉 字符"/>
    <w:basedOn w:val="14"/>
    <w:link w:val="10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页脚 字符"/>
    <w:basedOn w:val="14"/>
    <w:link w:val="9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正文文本 字符"/>
    <w:basedOn w:val="14"/>
    <w:link w:val="7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paragraph" w:customStyle="1" w:styleId="20">
    <w:name w:val="Footer Right"/>
    <w:basedOn w:val="9"/>
    <w:qFormat/>
    <w:uiPriority w:val="0"/>
    <w:pPr>
      <w:jc w:val="right"/>
    </w:pPr>
  </w:style>
  <w:style w:type="paragraph" w:customStyle="1" w:styleId="21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1</Pages>
  <Words>1707</Words>
  <Characters>1813</Characters>
  <Lines>1</Lines>
  <Paragraphs>1</Paragraphs>
  <TotalTime>8</TotalTime>
  <ScaleCrop>false</ScaleCrop>
  <LinksUpToDate>false</LinksUpToDate>
  <CharactersWithSpaces>1998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2023-03-01T09:34:00Z</dcterms:created>
  <dc:creator>张斌（反垄断处）</dc:creator>
  <cp:lastModifiedBy>scj</cp:lastModifiedBy>
  <cp:lastPrinted>2024-08-03T17:27:00Z</cp:lastPrinted>
  <dcterms:modified xsi:type="dcterms:W3CDTF">2024-08-14T09:27:12Z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2F510BCF826C43248232D30198221AB7</vt:lpwstr>
  </property>
</Properties>
</file>