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eastAsia" w:ascii="黑体" w:hAnsi="黑体" w:eastAsia="黑体"/>
          <w:kern w:val="0"/>
          <w:sz w:val="36"/>
          <w:szCs w:val="36"/>
          <w:lang w:val="en-GB"/>
        </w:rPr>
      </w:pPr>
      <w:r>
        <w:rPr>
          <w:rFonts w:ascii="黑体" w:hAnsi="黑体" w:eastAsia="黑体"/>
          <w:kern w:val="0"/>
          <w:sz w:val="36"/>
          <w:szCs w:val="36"/>
          <w:lang w:val="en-GB"/>
        </w:rPr>
        <w:t>经营者集中简易案件公示表</w:t>
      </w:r>
    </w:p>
    <w:tbl>
      <w:tblPr>
        <w:tblStyle w:val="14"/>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r>
              <w:rPr>
                <w:rFonts w:ascii="宋体" w:hAnsi="宋体"/>
                <w:b/>
                <w:color w:val="000000"/>
                <w:sz w:val="24"/>
              </w:rPr>
              <w:t>案件名称</w:t>
            </w:r>
          </w:p>
        </w:tc>
        <w:tc>
          <w:tcPr>
            <w:tcW w:w="7700" w:type="dxa"/>
            <w:gridSpan w:val="2"/>
            <w:shd w:val="clear" w:color="auto" w:fill="auto"/>
            <w:vAlign w:val="center"/>
          </w:tcPr>
          <w:p>
            <w:pPr>
              <w:adjustRightInd w:val="0"/>
              <w:snapToGrid w:val="0"/>
              <w:spacing w:after="0" w:line="240" w:lineRule="auto"/>
              <w:rPr>
                <w:rFonts w:hint="eastAsia" w:ascii="宋体" w:hAnsi="宋体"/>
                <w:sz w:val="24"/>
              </w:rPr>
            </w:pPr>
            <w:r>
              <w:rPr>
                <w:rFonts w:hint="eastAsia" w:ascii="宋体" w:hAnsi="宋体"/>
                <w:sz w:val="24"/>
              </w:rPr>
              <w:t>法国电力集团与加拿大养老金计划投资委员会等经营者新设合营企业案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jc w:val="center"/>
        </w:trPr>
        <w:tc>
          <w:tcPr>
            <w:tcW w:w="1940" w:type="dxa"/>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r>
              <w:rPr>
                <w:rFonts w:ascii="宋体" w:hAnsi="宋体"/>
                <w:b/>
                <w:color w:val="000000"/>
                <w:sz w:val="24"/>
              </w:rPr>
              <w:t>交易概况</w:t>
            </w:r>
          </w:p>
          <w:p>
            <w:pPr>
              <w:pStyle w:val="5"/>
              <w:adjustRightInd w:val="0"/>
              <w:snapToGrid w:val="0"/>
              <w:spacing w:after="0"/>
              <w:jc w:val="center"/>
              <w:rPr>
                <w:rFonts w:hint="eastAsia" w:ascii="宋体" w:hAnsi="宋体"/>
                <w:b/>
                <w:color w:val="000000"/>
                <w:sz w:val="24"/>
              </w:rPr>
            </w:pPr>
            <w:r>
              <w:rPr>
                <w:rFonts w:ascii="宋体" w:hAnsi="宋体"/>
                <w:b/>
                <w:color w:val="000000"/>
                <w:sz w:val="24"/>
              </w:rPr>
              <w:t>（限200字内）</w:t>
            </w:r>
          </w:p>
        </w:tc>
        <w:tc>
          <w:tcPr>
            <w:tcW w:w="7700" w:type="dxa"/>
            <w:gridSpan w:val="2"/>
            <w:vAlign w:val="center"/>
          </w:tcPr>
          <w:p>
            <w:pPr>
              <w:snapToGrid w:val="0"/>
              <w:spacing w:after="0" w:line="240" w:lineRule="auto"/>
              <w:contextualSpacing/>
              <w:rPr>
                <w:rFonts w:hint="eastAsia" w:ascii="宋体" w:hAnsi="宋体"/>
                <w:color w:val="000000"/>
                <w:sz w:val="24"/>
              </w:rPr>
            </w:pPr>
            <w:r>
              <w:rPr>
                <w:rFonts w:ascii="宋体" w:hAnsi="宋体"/>
                <w:color w:val="000000"/>
                <w:sz w:val="24"/>
              </w:rPr>
              <w:t>法国电力集团（“法电集团”）</w:t>
            </w:r>
            <w:r>
              <w:rPr>
                <w:rFonts w:hint="eastAsia" w:ascii="宋体" w:hAnsi="宋体"/>
                <w:bCs/>
                <w:color w:val="000000"/>
                <w:sz w:val="24"/>
              </w:rPr>
              <w:t>、</w:t>
            </w:r>
            <w:r>
              <w:rPr>
                <w:rFonts w:ascii="宋体" w:hAnsi="宋体"/>
                <w:color w:val="000000"/>
                <w:sz w:val="24"/>
              </w:rPr>
              <w:t>加拿大养老金计划投资委员会（“CPP Investments”）</w:t>
            </w:r>
            <w:r>
              <w:rPr>
                <w:rFonts w:hint="eastAsia" w:ascii="宋体" w:hAnsi="宋体"/>
                <w:bCs/>
                <w:color w:val="000000"/>
                <w:sz w:val="24"/>
              </w:rPr>
              <w:t>、</w:t>
            </w:r>
            <w:r>
              <w:rPr>
                <w:rFonts w:ascii="宋体" w:hAnsi="宋体"/>
                <w:color w:val="000000"/>
                <w:sz w:val="24"/>
              </w:rPr>
              <w:t>英桥公司（“英桥”）</w:t>
            </w:r>
            <w:r>
              <w:rPr>
                <w:rFonts w:hint="eastAsia" w:ascii="宋体" w:hAnsi="宋体"/>
                <w:bCs/>
                <w:color w:val="000000"/>
                <w:sz w:val="24"/>
              </w:rPr>
              <w:t>签署协议，</w:t>
            </w:r>
            <w:r>
              <w:rPr>
                <w:rFonts w:ascii="宋体" w:hAnsi="宋体"/>
                <w:color w:val="000000"/>
                <w:sz w:val="24"/>
              </w:rPr>
              <w:t>拟</w:t>
            </w:r>
            <w:r>
              <w:rPr>
                <w:rFonts w:hint="eastAsia" w:ascii="宋体" w:hAnsi="宋体"/>
                <w:color w:val="000000"/>
                <w:sz w:val="24"/>
              </w:rPr>
              <w:t>设立一家合营企业</w:t>
            </w:r>
            <w:r>
              <w:rPr>
                <w:rFonts w:ascii="宋体" w:hAnsi="宋体"/>
                <w:bCs/>
                <w:color w:val="000000"/>
                <w:sz w:val="24"/>
              </w:rPr>
              <w:t>。</w:t>
            </w:r>
            <w:r>
              <w:rPr>
                <w:rFonts w:hint="eastAsia" w:ascii="宋体" w:hAnsi="宋体"/>
                <w:bCs/>
                <w:color w:val="000000"/>
                <w:sz w:val="24"/>
              </w:rPr>
              <w:t>交易各方拟通过合营企业收购法国诺曼底沿海地区海上风电项目的特许经营权。合营企业将在法国从事</w:t>
            </w:r>
            <w:r>
              <w:rPr>
                <w:rFonts w:ascii="宋体" w:hAnsi="宋体"/>
                <w:color w:val="000000"/>
                <w:sz w:val="24"/>
              </w:rPr>
              <w:t>风电业务。交易后，法电集团将间接持有</w:t>
            </w:r>
            <w:r>
              <w:rPr>
                <w:rFonts w:hint="eastAsia" w:ascii="宋体" w:hAnsi="宋体"/>
                <w:color w:val="000000"/>
                <w:sz w:val="24"/>
              </w:rPr>
              <w:t>合营企业60</w:t>
            </w:r>
            <w:r>
              <w:rPr>
                <w:rFonts w:ascii="宋体" w:hAnsi="宋体"/>
                <w:color w:val="000000"/>
                <w:sz w:val="24"/>
              </w:rPr>
              <w:t>%的股份，CPP Investments和英桥将</w:t>
            </w:r>
            <w:r>
              <w:rPr>
                <w:rFonts w:hint="eastAsia" w:ascii="宋体" w:hAnsi="宋体"/>
                <w:bCs/>
                <w:color w:val="000000"/>
                <w:sz w:val="24"/>
              </w:rPr>
              <w:t>分别</w:t>
            </w:r>
            <w:r>
              <w:rPr>
                <w:rFonts w:ascii="宋体" w:hAnsi="宋体"/>
                <w:color w:val="000000"/>
                <w:sz w:val="24"/>
              </w:rPr>
              <w:t>间接持有</w:t>
            </w:r>
            <w:r>
              <w:rPr>
                <w:rFonts w:hint="eastAsia" w:ascii="宋体" w:hAnsi="宋体"/>
                <w:color w:val="000000"/>
                <w:sz w:val="24"/>
              </w:rPr>
              <w:t>合营企业</w:t>
            </w:r>
            <w:r>
              <w:rPr>
                <w:rFonts w:ascii="宋体" w:hAnsi="宋体"/>
                <w:color w:val="000000"/>
                <w:sz w:val="24"/>
              </w:rPr>
              <w:t>2</w:t>
            </w:r>
            <w:r>
              <w:rPr>
                <w:rFonts w:hint="eastAsia" w:ascii="宋体" w:hAnsi="宋体"/>
                <w:color w:val="000000"/>
                <w:sz w:val="24"/>
              </w:rPr>
              <w:t>0</w:t>
            </w:r>
            <w:r>
              <w:rPr>
                <w:rFonts w:ascii="宋体" w:hAnsi="宋体"/>
                <w:color w:val="000000"/>
                <w:sz w:val="24"/>
              </w:rPr>
              <w:t>%的股份</w:t>
            </w:r>
            <w:r>
              <w:rPr>
                <w:rFonts w:hint="eastAsia" w:ascii="宋体" w:hAnsi="宋体"/>
                <w:bCs/>
                <w:color w:val="000000"/>
                <w:sz w:val="24"/>
              </w:rPr>
              <w:t>，三者</w:t>
            </w:r>
            <w:r>
              <w:rPr>
                <w:rFonts w:ascii="宋体" w:hAnsi="宋体"/>
                <w:bCs/>
                <w:color w:val="000000"/>
                <w:sz w:val="24"/>
              </w:rPr>
              <w:t>共同</w:t>
            </w:r>
            <w:r>
              <w:rPr>
                <w:rFonts w:ascii="宋体" w:hAnsi="宋体"/>
                <w:color w:val="000000"/>
                <w:sz w:val="24"/>
              </w:rPr>
              <w:t>控制</w:t>
            </w:r>
            <w:r>
              <w:rPr>
                <w:rFonts w:hint="eastAsia" w:ascii="宋体" w:hAnsi="宋体"/>
                <w:color w:val="000000"/>
                <w:sz w:val="24"/>
              </w:rPr>
              <w:t>合营企业</w:t>
            </w:r>
            <w:r>
              <w:rPr>
                <w:rFonts w:ascii="宋体" w:hAnsi="宋体"/>
                <w:color w:val="00000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r>
              <w:rPr>
                <w:rFonts w:ascii="宋体" w:hAnsi="宋体"/>
                <w:b/>
                <w:color w:val="000000"/>
                <w:sz w:val="24"/>
              </w:rPr>
              <w:t>参与集中的</w:t>
            </w:r>
          </w:p>
          <w:p>
            <w:pPr>
              <w:pStyle w:val="5"/>
              <w:adjustRightInd w:val="0"/>
              <w:snapToGrid w:val="0"/>
              <w:spacing w:after="0"/>
              <w:jc w:val="center"/>
              <w:rPr>
                <w:rFonts w:hint="eastAsia" w:ascii="宋体" w:hAnsi="宋体"/>
                <w:b/>
                <w:color w:val="000000"/>
                <w:sz w:val="24"/>
              </w:rPr>
            </w:pPr>
            <w:r>
              <w:rPr>
                <w:rFonts w:ascii="宋体" w:hAnsi="宋体"/>
                <w:b/>
                <w:color w:val="000000"/>
                <w:sz w:val="24"/>
              </w:rPr>
              <w:t>经营者简介</w:t>
            </w:r>
          </w:p>
          <w:p>
            <w:pPr>
              <w:pStyle w:val="5"/>
              <w:adjustRightInd w:val="0"/>
              <w:snapToGrid w:val="0"/>
              <w:spacing w:after="0"/>
              <w:jc w:val="center"/>
              <w:rPr>
                <w:rFonts w:hint="eastAsia" w:ascii="宋体" w:hAnsi="宋体"/>
                <w:b/>
                <w:color w:val="000000"/>
                <w:sz w:val="24"/>
              </w:rPr>
            </w:pPr>
            <w:r>
              <w:rPr>
                <w:rFonts w:ascii="宋体" w:hAnsi="宋体"/>
                <w:b/>
                <w:color w:val="000000"/>
                <w:sz w:val="24"/>
              </w:rPr>
              <w:t>（每个限100</w:t>
            </w:r>
          </w:p>
          <w:p>
            <w:pPr>
              <w:pStyle w:val="5"/>
              <w:adjustRightInd w:val="0"/>
              <w:snapToGrid w:val="0"/>
              <w:spacing w:after="0"/>
              <w:jc w:val="center"/>
              <w:rPr>
                <w:rFonts w:hint="eastAsia" w:ascii="宋体" w:hAnsi="宋体"/>
                <w:b/>
                <w:color w:val="000000"/>
                <w:sz w:val="24"/>
              </w:rPr>
            </w:pPr>
            <w:r>
              <w:rPr>
                <w:rFonts w:ascii="宋体" w:hAnsi="宋体"/>
                <w:b/>
                <w:color w:val="000000"/>
                <w:sz w:val="24"/>
              </w:rPr>
              <w:t>字以内）</w:t>
            </w:r>
          </w:p>
        </w:tc>
        <w:tc>
          <w:tcPr>
            <w:tcW w:w="1607" w:type="dxa"/>
            <w:vAlign w:val="center"/>
          </w:tcPr>
          <w:p>
            <w:pPr>
              <w:pStyle w:val="5"/>
              <w:adjustRightInd w:val="0"/>
              <w:snapToGrid w:val="0"/>
              <w:spacing w:after="0" w:line="240" w:lineRule="auto"/>
              <w:rPr>
                <w:rFonts w:hint="eastAsia" w:ascii="宋体" w:hAnsi="宋体"/>
                <w:color w:val="000000"/>
                <w:sz w:val="24"/>
              </w:rPr>
            </w:pPr>
            <w:r>
              <w:rPr>
                <w:rFonts w:ascii="宋体" w:hAnsi="宋体"/>
                <w:color w:val="000000"/>
                <w:sz w:val="24"/>
              </w:rPr>
              <w:t>1.</w:t>
            </w:r>
            <w:r>
              <w:rPr>
                <w:rFonts w:hint="eastAsia" w:ascii="宋体" w:hAnsi="宋体"/>
                <w:color w:val="000000"/>
                <w:sz w:val="24"/>
              </w:rPr>
              <w:t>法电集团</w:t>
            </w:r>
          </w:p>
        </w:tc>
        <w:tc>
          <w:tcPr>
            <w:tcW w:w="6093" w:type="dxa"/>
            <w:vAlign w:val="center"/>
          </w:tcPr>
          <w:p>
            <w:pPr>
              <w:adjustRightInd w:val="0"/>
              <w:snapToGrid w:val="0"/>
              <w:spacing w:after="0" w:line="240" w:lineRule="auto"/>
              <w:jc w:val="left"/>
              <w:rPr>
                <w:rFonts w:hint="eastAsia" w:ascii="宋体" w:hAnsi="宋体"/>
                <w:color w:val="000000"/>
                <w:sz w:val="24"/>
              </w:rPr>
            </w:pPr>
            <w:r>
              <w:rPr>
                <w:rFonts w:ascii="宋体" w:hAnsi="宋体"/>
                <w:color w:val="000000"/>
                <w:sz w:val="24"/>
              </w:rPr>
              <w:t>法电集团于1946年4月8日成立于法国</w:t>
            </w:r>
            <w:r>
              <w:rPr>
                <w:rFonts w:hint="eastAsia" w:ascii="宋体" w:hAnsi="宋体"/>
                <w:bCs/>
                <w:color w:val="000000"/>
                <w:sz w:val="24"/>
              </w:rPr>
              <w:t>，</w:t>
            </w:r>
            <w:r>
              <w:rPr>
                <w:rFonts w:ascii="宋体" w:hAnsi="宋体"/>
                <w:bCs/>
                <w:color w:val="000000"/>
                <w:sz w:val="24"/>
              </w:rPr>
              <w:t>主要</w:t>
            </w:r>
            <w:r>
              <w:rPr>
                <w:rFonts w:hint="eastAsia" w:ascii="宋体" w:hAnsi="宋体"/>
                <w:bCs/>
                <w:color w:val="000000"/>
                <w:sz w:val="24"/>
              </w:rPr>
              <w:t>从事</w:t>
            </w:r>
            <w:r>
              <w:rPr>
                <w:rFonts w:ascii="宋体" w:hAnsi="宋体"/>
                <w:color w:val="000000"/>
                <w:sz w:val="24"/>
              </w:rPr>
              <w:t>发电、电力批发、交易、输电、配电和供电</w:t>
            </w:r>
            <w:r>
              <w:rPr>
                <w:rFonts w:hint="eastAsia" w:ascii="宋体" w:hAnsi="宋体"/>
                <w:bCs/>
                <w:color w:val="000000"/>
                <w:sz w:val="24"/>
              </w:rPr>
              <w:t>等</w:t>
            </w:r>
            <w:r>
              <w:rPr>
                <w:rFonts w:ascii="宋体" w:hAnsi="宋体"/>
                <w:color w:val="000000"/>
                <w:sz w:val="24"/>
              </w:rPr>
              <w:t>领域</w:t>
            </w:r>
            <w:r>
              <w:rPr>
                <w:rFonts w:hint="eastAsia" w:ascii="宋体" w:hAnsi="宋体"/>
                <w:bCs/>
                <w:color w:val="000000"/>
                <w:sz w:val="24"/>
              </w:rPr>
              <w:t>业务</w:t>
            </w:r>
            <w:r>
              <w:rPr>
                <w:rFonts w:ascii="宋体" w:hAnsi="宋体"/>
                <w:color w:val="000000"/>
                <w:sz w:val="24"/>
              </w:rPr>
              <w:t>。</w:t>
            </w:r>
          </w:p>
          <w:p>
            <w:pPr>
              <w:pStyle w:val="2"/>
              <w:spacing w:after="0" w:line="240" w:lineRule="auto"/>
            </w:pPr>
          </w:p>
          <w:p>
            <w:pPr>
              <w:adjustRightInd w:val="0"/>
              <w:snapToGrid w:val="0"/>
              <w:spacing w:after="0" w:line="240" w:lineRule="auto"/>
              <w:rPr>
                <w:rFonts w:hint="eastAsia" w:ascii="宋体" w:hAnsi="宋体"/>
                <w:color w:val="000000"/>
                <w:sz w:val="24"/>
              </w:rPr>
            </w:pPr>
            <w:r>
              <w:rPr>
                <w:rFonts w:ascii="宋体" w:hAnsi="宋体"/>
                <w:color w:val="000000"/>
                <w:sz w:val="24"/>
              </w:rPr>
              <w:t>法电集团</w:t>
            </w:r>
            <w:r>
              <w:rPr>
                <w:rFonts w:ascii="宋体" w:hAnsi="宋体"/>
                <w:bCs/>
                <w:color w:val="000000"/>
                <w:sz w:val="24"/>
              </w:rPr>
              <w:t>为</w:t>
            </w:r>
            <w:r>
              <w:rPr>
                <w:rFonts w:ascii="宋体" w:hAnsi="宋体"/>
                <w:color w:val="000000"/>
                <w:sz w:val="24"/>
              </w:rPr>
              <w:t>法国政府</w:t>
            </w:r>
            <w:r>
              <w:rPr>
                <w:rFonts w:hint="eastAsia" w:ascii="宋体" w:hAnsi="宋体"/>
                <w:bCs/>
                <w:color w:val="000000"/>
                <w:sz w:val="24"/>
              </w:rPr>
              <w:t>下属企业</w:t>
            </w:r>
            <w:r>
              <w:rPr>
                <w:rFonts w:ascii="宋体" w:hAnsi="宋体"/>
                <w:color w:val="00000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1607" w:type="dxa"/>
            <w:vAlign w:val="center"/>
          </w:tcPr>
          <w:p>
            <w:pPr>
              <w:pStyle w:val="5"/>
              <w:adjustRightInd w:val="0"/>
              <w:snapToGrid w:val="0"/>
              <w:spacing w:after="0" w:line="240" w:lineRule="auto"/>
              <w:rPr>
                <w:rFonts w:hint="eastAsia" w:ascii="宋体" w:hAnsi="宋体"/>
                <w:color w:val="000000"/>
                <w:sz w:val="24"/>
              </w:rPr>
            </w:pPr>
            <w:r>
              <w:rPr>
                <w:rFonts w:ascii="宋体" w:hAnsi="宋体"/>
                <w:color w:val="000000"/>
                <w:sz w:val="24"/>
              </w:rPr>
              <w:t>2.</w:t>
            </w:r>
            <w:r>
              <w:rPr>
                <w:rFonts w:ascii="宋体" w:hAnsi="宋体"/>
                <w:sz w:val="24"/>
                <w:lang w:val="en-GB"/>
              </w:rPr>
              <w:t>CPP Investments</w:t>
            </w:r>
          </w:p>
        </w:tc>
        <w:tc>
          <w:tcPr>
            <w:tcW w:w="6093" w:type="dxa"/>
            <w:vAlign w:val="center"/>
          </w:tcPr>
          <w:p>
            <w:pPr>
              <w:widowControl/>
              <w:adjustRightInd w:val="0"/>
              <w:snapToGrid w:val="0"/>
              <w:spacing w:after="0" w:line="240" w:lineRule="auto"/>
              <w:jc w:val="left"/>
              <w:rPr>
                <w:rFonts w:hint="eastAsia" w:ascii="宋体" w:hAnsi="宋体"/>
                <w:bCs/>
                <w:color w:val="000000"/>
                <w:kern w:val="0"/>
                <w:sz w:val="24"/>
                <w:lang w:bidi="ar-AE"/>
              </w:rPr>
            </w:pPr>
            <w:r>
              <w:rPr>
                <w:rFonts w:ascii="宋体" w:hAnsi="宋体"/>
                <w:color w:val="000000"/>
                <w:kern w:val="0"/>
                <w:sz w:val="24"/>
              </w:rPr>
              <w:t>CPP Investments于1997年12月18日成立于加拿大</w:t>
            </w:r>
            <w:r>
              <w:rPr>
                <w:rFonts w:hint="eastAsia" w:ascii="宋体" w:hAnsi="宋体"/>
                <w:bCs/>
                <w:color w:val="000000"/>
                <w:kern w:val="0"/>
                <w:sz w:val="24"/>
                <w:lang w:bidi="ar-AE"/>
              </w:rPr>
              <w:t>。</w:t>
            </w:r>
            <w:r>
              <w:rPr>
                <w:rFonts w:hint="eastAsia" w:ascii="宋体" w:hAnsi="宋体"/>
                <w:bCs/>
                <w:color w:val="000000"/>
                <w:kern w:val="0"/>
                <w:sz w:val="24"/>
                <w:lang w:val="en-GB" w:bidi="ar-AE"/>
              </w:rPr>
              <w:t>CPP Investments</w:t>
            </w:r>
            <w:r>
              <w:rPr>
                <w:rFonts w:hint="eastAsia" w:ascii="宋体" w:hAnsi="宋体"/>
                <w:bCs/>
                <w:color w:val="000000"/>
                <w:kern w:val="0"/>
                <w:sz w:val="24"/>
                <w:lang w:bidi="ar-AE"/>
              </w:rPr>
              <w:t>是一家专业投资管理机构，投资于公共股权、私募股权、不动产、基础设施和固定收益证券领域。</w:t>
            </w:r>
          </w:p>
          <w:p>
            <w:pPr>
              <w:widowControl/>
              <w:adjustRightInd w:val="0"/>
              <w:snapToGrid w:val="0"/>
              <w:spacing w:after="0" w:line="240" w:lineRule="auto"/>
              <w:jc w:val="left"/>
              <w:rPr>
                <w:lang w:bidi="ar-AE"/>
              </w:rPr>
            </w:pPr>
          </w:p>
          <w:p>
            <w:pPr>
              <w:widowControl/>
              <w:adjustRightInd w:val="0"/>
              <w:snapToGrid w:val="0"/>
              <w:spacing w:after="0" w:line="240" w:lineRule="auto"/>
              <w:jc w:val="left"/>
              <w:rPr>
                <w:rFonts w:hint="eastAsia" w:ascii="宋体" w:hAnsi="宋体"/>
                <w:color w:val="000000"/>
                <w:sz w:val="24"/>
              </w:rPr>
            </w:pPr>
            <w:r>
              <w:rPr>
                <w:rFonts w:ascii="宋体" w:hAnsi="宋体"/>
                <w:color w:val="000000"/>
                <w:kern w:val="0"/>
                <w:sz w:val="24"/>
              </w:rPr>
              <w:t>CPP Investments无最终控制人。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1607" w:type="dxa"/>
            <w:vAlign w:val="center"/>
          </w:tcPr>
          <w:p>
            <w:pPr>
              <w:pStyle w:val="5"/>
              <w:adjustRightInd w:val="0"/>
              <w:snapToGrid w:val="0"/>
              <w:spacing w:after="0" w:line="240" w:lineRule="auto"/>
              <w:rPr>
                <w:rFonts w:hint="eastAsia" w:ascii="宋体" w:hAnsi="宋体"/>
                <w:color w:val="000000"/>
                <w:sz w:val="24"/>
              </w:rPr>
            </w:pPr>
            <w:r>
              <w:rPr>
                <w:rFonts w:ascii="宋体" w:hAnsi="宋体"/>
                <w:color w:val="000000"/>
                <w:sz w:val="24"/>
              </w:rPr>
              <w:t>3.</w:t>
            </w:r>
            <w:r>
              <w:rPr>
                <w:rFonts w:hint="eastAsia" w:ascii="宋体" w:hAnsi="宋体"/>
                <w:color w:val="000000"/>
                <w:sz w:val="24"/>
              </w:rPr>
              <w:t>英桥</w:t>
            </w:r>
          </w:p>
        </w:tc>
        <w:tc>
          <w:tcPr>
            <w:tcW w:w="6093" w:type="dxa"/>
            <w:vAlign w:val="center"/>
          </w:tcPr>
          <w:p>
            <w:pPr>
              <w:snapToGrid w:val="0"/>
              <w:spacing w:after="0" w:line="240" w:lineRule="auto"/>
              <w:contextualSpacing/>
              <w:rPr>
                <w:rFonts w:hint="eastAsia" w:ascii="宋体" w:hAnsi="宋体"/>
                <w:color w:val="000000"/>
                <w:sz w:val="24"/>
              </w:rPr>
            </w:pPr>
            <w:r>
              <w:rPr>
                <w:rFonts w:ascii="宋体" w:hAnsi="宋体"/>
                <w:color w:val="000000"/>
                <w:sz w:val="24"/>
              </w:rPr>
              <w:t>英桥于1970年4月13日成立于加拿大，为纽约证券交易所</w:t>
            </w:r>
            <w:r>
              <w:rPr>
                <w:rFonts w:hint="eastAsia" w:ascii="宋体" w:hAnsi="宋体"/>
                <w:bCs/>
                <w:color w:val="000000"/>
                <w:sz w:val="24"/>
              </w:rPr>
              <w:t>、</w:t>
            </w:r>
            <w:r>
              <w:rPr>
                <w:rFonts w:ascii="宋体" w:hAnsi="宋体"/>
                <w:color w:val="000000"/>
                <w:sz w:val="24"/>
              </w:rPr>
              <w:t>多伦多证券交易所上市公司。英桥主要从事液体管道</w:t>
            </w:r>
            <w:r>
              <w:rPr>
                <w:rFonts w:hint="eastAsia" w:ascii="宋体" w:hAnsi="宋体"/>
                <w:bCs/>
                <w:color w:val="000000"/>
                <w:sz w:val="24"/>
              </w:rPr>
              <w:t>、</w:t>
            </w:r>
            <w:r>
              <w:rPr>
                <w:rFonts w:ascii="宋体" w:hAnsi="宋体"/>
                <w:color w:val="000000"/>
                <w:sz w:val="24"/>
              </w:rPr>
              <w:t>天然气管道</w:t>
            </w:r>
            <w:r>
              <w:rPr>
                <w:rFonts w:hint="eastAsia" w:ascii="宋体" w:hAnsi="宋体"/>
                <w:bCs/>
                <w:color w:val="000000"/>
                <w:sz w:val="24"/>
              </w:rPr>
              <w:t>、</w:t>
            </w:r>
            <w:r>
              <w:rPr>
                <w:rFonts w:ascii="宋体" w:hAnsi="宋体"/>
                <w:color w:val="000000"/>
                <w:sz w:val="24"/>
              </w:rPr>
              <w:t>天然气公用事业和储存</w:t>
            </w:r>
            <w:r>
              <w:rPr>
                <w:rFonts w:hint="eastAsia" w:ascii="宋体" w:hAnsi="宋体"/>
                <w:bCs/>
                <w:color w:val="000000"/>
                <w:sz w:val="24"/>
              </w:rPr>
              <w:t>、</w:t>
            </w:r>
            <w:r>
              <w:rPr>
                <w:rFonts w:ascii="宋体" w:hAnsi="宋体"/>
                <w:color w:val="000000"/>
                <w:sz w:val="24"/>
              </w:rPr>
              <w:t>可再生能源</w:t>
            </w:r>
            <w:r>
              <w:rPr>
                <w:rFonts w:hint="eastAsia" w:ascii="宋体" w:hAnsi="宋体"/>
                <w:bCs/>
                <w:color w:val="000000"/>
                <w:sz w:val="24"/>
              </w:rPr>
              <w:t>业务</w:t>
            </w:r>
            <w:r>
              <w:rPr>
                <w:rFonts w:ascii="宋体" w:hAnsi="宋体"/>
                <w:color w:val="000000"/>
                <w:sz w:val="24"/>
              </w:rPr>
              <w:t>。</w:t>
            </w:r>
          </w:p>
          <w:p>
            <w:pPr>
              <w:pStyle w:val="5"/>
              <w:adjustRightInd w:val="0"/>
              <w:snapToGrid w:val="0"/>
              <w:spacing w:after="0" w:line="240" w:lineRule="auto"/>
            </w:pPr>
          </w:p>
          <w:p>
            <w:pPr>
              <w:pStyle w:val="5"/>
              <w:adjustRightInd w:val="0"/>
              <w:snapToGrid w:val="0"/>
              <w:spacing w:after="0" w:line="240" w:lineRule="auto"/>
              <w:rPr>
                <w:rFonts w:hint="eastAsia" w:ascii="宋体" w:hAnsi="宋体"/>
                <w:color w:val="000000"/>
                <w:sz w:val="24"/>
              </w:rPr>
            </w:pPr>
            <w:r>
              <w:rPr>
                <w:rFonts w:hint="eastAsia" w:ascii="宋体" w:hAnsi="宋体"/>
                <w:sz w:val="24"/>
                <w:lang w:val="en-GB"/>
              </w:rPr>
              <w:t>英桥无最终控制人。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r>
              <w:rPr>
                <w:rFonts w:ascii="宋体" w:hAnsi="宋体"/>
                <w:b/>
                <w:color w:val="000000"/>
                <w:sz w:val="24"/>
              </w:rPr>
              <w:t>简易案件理由（可以单选，</w:t>
            </w:r>
          </w:p>
          <w:p>
            <w:pPr>
              <w:pStyle w:val="5"/>
              <w:adjustRightInd w:val="0"/>
              <w:snapToGrid w:val="0"/>
              <w:spacing w:after="0"/>
              <w:jc w:val="center"/>
              <w:rPr>
                <w:rFonts w:hint="eastAsia" w:ascii="宋体" w:hAnsi="宋体"/>
                <w:b/>
                <w:color w:val="000000"/>
                <w:sz w:val="24"/>
              </w:rPr>
            </w:pPr>
            <w:r>
              <w:rPr>
                <w:rFonts w:ascii="宋体" w:hAnsi="宋体"/>
                <w:b/>
                <w:color w:val="000000"/>
                <w:sz w:val="24"/>
              </w:rPr>
              <w:t>也可以多选）</w:t>
            </w:r>
          </w:p>
        </w:tc>
        <w:tc>
          <w:tcPr>
            <w:tcW w:w="7700" w:type="dxa"/>
            <w:gridSpan w:val="2"/>
            <w:vAlign w:val="center"/>
          </w:tcPr>
          <w:p>
            <w:pPr>
              <w:pStyle w:val="5"/>
              <w:adjustRightInd w:val="0"/>
              <w:snapToGrid w:val="0"/>
              <w:spacing w:after="0" w:line="240" w:lineRule="auto"/>
              <w:rPr>
                <w:rFonts w:hint="eastAsia" w:ascii="宋体" w:hAnsi="宋体"/>
                <w:color w:val="000000"/>
                <w:sz w:val="24"/>
              </w:rPr>
            </w:pPr>
            <w:r>
              <w:rPr>
                <w:rFonts w:ascii="宋体" w:hAnsi="宋体"/>
                <w:bCs/>
                <w:color w:val="000000"/>
                <w:sz w:val="24"/>
              </w:rPr>
              <w:sym w:font="Wingdings" w:char="00A8"/>
            </w:r>
            <w:r>
              <w:rPr>
                <w:rFonts w:ascii="宋体" w:hAnsi="宋体"/>
                <w:bCs/>
                <w:color w:val="000000"/>
                <w:sz w:val="24"/>
              </w:rPr>
              <w:t xml:space="preserve"> </w:t>
            </w:r>
            <w:r>
              <w:rPr>
                <w:rFonts w:ascii="宋体" w:hAnsi="宋体"/>
                <w:color w:val="000000"/>
                <w:sz w:val="24"/>
              </w:rPr>
              <w:t>1</w:t>
            </w:r>
            <w:r>
              <w:rPr>
                <w:rFonts w:ascii="宋体" w:hAnsi="宋体"/>
                <w:bCs/>
                <w:color w:val="000000"/>
                <w:sz w:val="24"/>
              </w:rPr>
              <w:t>、</w:t>
            </w:r>
            <w:r>
              <w:rPr>
                <w:rFonts w:ascii="宋体" w:hAnsi="宋体"/>
                <w:color w:val="000000"/>
                <w:sz w:val="24"/>
              </w:rPr>
              <w:t>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7700" w:type="dxa"/>
            <w:gridSpan w:val="2"/>
            <w:vAlign w:val="center"/>
          </w:tcPr>
          <w:p>
            <w:pPr>
              <w:pStyle w:val="5"/>
              <w:adjustRightInd w:val="0"/>
              <w:snapToGrid w:val="0"/>
              <w:spacing w:after="0" w:line="240" w:lineRule="auto"/>
              <w:rPr>
                <w:rFonts w:hint="eastAsia" w:ascii="宋体" w:hAnsi="宋体"/>
                <w:color w:val="000000"/>
                <w:sz w:val="24"/>
              </w:rPr>
            </w:pPr>
            <w:r>
              <w:rPr>
                <w:rFonts w:ascii="宋体" w:hAnsi="宋体"/>
                <w:bCs/>
                <w:color w:val="000000"/>
                <w:sz w:val="24"/>
              </w:rPr>
              <w:sym w:font="Wingdings" w:char="00A8"/>
            </w:r>
            <w:r>
              <w:rPr>
                <w:rFonts w:ascii="宋体" w:hAnsi="宋体"/>
                <w:bCs/>
                <w:color w:val="000000"/>
                <w:sz w:val="24"/>
              </w:rPr>
              <w:t xml:space="preserve"> </w:t>
            </w:r>
            <w:r>
              <w:rPr>
                <w:rFonts w:ascii="宋体" w:hAnsi="宋体"/>
                <w:color w:val="000000"/>
                <w:sz w:val="24"/>
              </w:rPr>
              <w:t>2</w:t>
            </w:r>
            <w:r>
              <w:rPr>
                <w:rFonts w:ascii="宋体" w:hAnsi="宋体"/>
                <w:bCs/>
                <w:color w:val="000000"/>
                <w:sz w:val="24"/>
              </w:rPr>
              <w:t>、</w:t>
            </w:r>
            <w:r>
              <w:rPr>
                <w:rFonts w:ascii="宋体" w:hAnsi="宋体"/>
                <w:color w:val="000000"/>
                <w:sz w:val="24"/>
              </w:rPr>
              <w:t>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7700" w:type="dxa"/>
            <w:gridSpan w:val="2"/>
            <w:vAlign w:val="center"/>
          </w:tcPr>
          <w:p>
            <w:pPr>
              <w:pStyle w:val="5"/>
              <w:adjustRightInd w:val="0"/>
              <w:snapToGrid w:val="0"/>
              <w:spacing w:after="0" w:line="240" w:lineRule="auto"/>
              <w:rPr>
                <w:rFonts w:hint="eastAsia" w:ascii="宋体" w:hAnsi="宋体"/>
                <w:color w:val="000000"/>
                <w:sz w:val="24"/>
              </w:rPr>
            </w:pPr>
            <w:r>
              <w:rPr>
                <w:rFonts w:ascii="宋体" w:hAnsi="宋体"/>
                <w:bCs/>
                <w:color w:val="000000"/>
                <w:sz w:val="24"/>
              </w:rPr>
              <w:sym w:font="Wingdings" w:char="00A8"/>
            </w:r>
            <w:r>
              <w:rPr>
                <w:rFonts w:ascii="宋体" w:hAnsi="宋体"/>
                <w:bCs/>
                <w:color w:val="000000"/>
                <w:sz w:val="24"/>
              </w:rPr>
              <w:t xml:space="preserve">  </w:t>
            </w:r>
            <w:r>
              <w:rPr>
                <w:rFonts w:ascii="宋体" w:hAnsi="宋体"/>
                <w:color w:val="000000"/>
                <w:sz w:val="24"/>
              </w:rPr>
              <w:t>3</w:t>
            </w:r>
            <w:r>
              <w:rPr>
                <w:rFonts w:ascii="宋体" w:hAnsi="宋体"/>
                <w:bCs/>
                <w:color w:val="000000"/>
                <w:sz w:val="24"/>
              </w:rPr>
              <w:t>、</w:t>
            </w:r>
            <w:r>
              <w:rPr>
                <w:rFonts w:ascii="宋体" w:hAnsi="宋体"/>
                <w:color w:val="000000"/>
                <w:sz w:val="24"/>
              </w:rPr>
              <w:t>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7700" w:type="dxa"/>
            <w:gridSpan w:val="2"/>
            <w:vAlign w:val="center"/>
          </w:tcPr>
          <w:p>
            <w:pPr>
              <w:pStyle w:val="5"/>
              <w:adjustRightInd w:val="0"/>
              <w:snapToGrid w:val="0"/>
              <w:spacing w:after="0" w:line="240" w:lineRule="auto"/>
              <w:rPr>
                <w:rFonts w:hint="eastAsia" w:ascii="宋体" w:hAnsi="宋体"/>
                <w:color w:val="000000"/>
                <w:sz w:val="24"/>
              </w:rPr>
            </w:pPr>
            <w:r>
              <w:rPr>
                <w:rFonts w:ascii="宋体" w:hAnsi="宋体"/>
                <w:bCs/>
                <w:color w:val="000000"/>
                <w:sz w:val="24"/>
              </w:rPr>
              <w:sym w:font="Wingdings" w:char="00FE"/>
            </w:r>
            <w:r>
              <w:rPr>
                <w:rFonts w:ascii="宋体" w:hAnsi="宋体"/>
                <w:bCs/>
                <w:color w:val="000000"/>
                <w:sz w:val="24"/>
              </w:rPr>
              <w:t xml:space="preserve"> </w:t>
            </w:r>
            <w:r>
              <w:rPr>
                <w:rFonts w:ascii="宋体" w:hAnsi="宋体"/>
                <w:color w:val="000000"/>
                <w:sz w:val="24"/>
              </w:rPr>
              <w:t>4</w:t>
            </w:r>
            <w:r>
              <w:rPr>
                <w:rFonts w:ascii="宋体" w:hAnsi="宋体"/>
                <w:bCs/>
                <w:color w:val="000000"/>
                <w:sz w:val="24"/>
              </w:rPr>
              <w:t>、</w:t>
            </w:r>
            <w:r>
              <w:rPr>
                <w:rFonts w:ascii="宋体" w:hAnsi="宋体"/>
                <w:color w:val="000000"/>
                <w:sz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7700" w:type="dxa"/>
            <w:gridSpan w:val="2"/>
            <w:vAlign w:val="center"/>
          </w:tcPr>
          <w:p>
            <w:pPr>
              <w:pStyle w:val="5"/>
              <w:adjustRightInd w:val="0"/>
              <w:snapToGrid w:val="0"/>
              <w:spacing w:after="0" w:line="240" w:lineRule="auto"/>
              <w:rPr>
                <w:rFonts w:hint="eastAsia" w:ascii="宋体" w:hAnsi="宋体"/>
                <w:color w:val="000000"/>
                <w:sz w:val="24"/>
              </w:rPr>
            </w:pPr>
            <w:r>
              <w:rPr>
                <w:rFonts w:ascii="宋体" w:hAnsi="宋体"/>
                <w:bCs/>
                <w:color w:val="000000"/>
                <w:sz w:val="24"/>
              </w:rPr>
              <w:sym w:font="Wingdings" w:char="00A8"/>
            </w:r>
            <w:r>
              <w:rPr>
                <w:rFonts w:hint="eastAsia" w:ascii="宋体" w:hAnsi="宋体"/>
                <w:bCs/>
                <w:color w:val="000000"/>
                <w:sz w:val="24"/>
              </w:rPr>
              <w:t xml:space="preserve"> </w:t>
            </w:r>
            <w:r>
              <w:rPr>
                <w:rFonts w:ascii="宋体" w:hAnsi="宋体"/>
                <w:color w:val="000000"/>
                <w:sz w:val="24"/>
              </w:rPr>
              <w:t>5</w:t>
            </w:r>
            <w:r>
              <w:rPr>
                <w:rFonts w:ascii="宋体" w:hAnsi="宋体"/>
                <w:bCs/>
                <w:color w:val="000000"/>
                <w:sz w:val="24"/>
              </w:rPr>
              <w:t>、</w:t>
            </w:r>
            <w:r>
              <w:rPr>
                <w:rFonts w:ascii="宋体" w:hAnsi="宋体"/>
                <w:color w:val="000000"/>
                <w:sz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p>
        </w:tc>
        <w:tc>
          <w:tcPr>
            <w:tcW w:w="7700" w:type="dxa"/>
            <w:gridSpan w:val="2"/>
            <w:vAlign w:val="center"/>
          </w:tcPr>
          <w:p>
            <w:pPr>
              <w:pStyle w:val="5"/>
              <w:adjustRightInd w:val="0"/>
              <w:snapToGrid w:val="0"/>
              <w:spacing w:after="0" w:line="240" w:lineRule="auto"/>
              <w:rPr>
                <w:rFonts w:hint="eastAsia" w:ascii="宋体" w:hAnsi="宋体"/>
                <w:color w:val="000000"/>
                <w:sz w:val="24"/>
              </w:rPr>
            </w:pPr>
            <w:r>
              <w:rPr>
                <w:rFonts w:ascii="宋体" w:hAnsi="宋体"/>
                <w:bCs/>
                <w:color w:val="000000"/>
                <w:sz w:val="24"/>
              </w:rPr>
              <w:sym w:font="Wingdings" w:char="00A8"/>
            </w:r>
            <w:r>
              <w:rPr>
                <w:rFonts w:ascii="宋体" w:hAnsi="宋体"/>
                <w:bCs/>
                <w:color w:val="000000"/>
                <w:sz w:val="24"/>
              </w:rPr>
              <w:t xml:space="preserve"> </w:t>
            </w:r>
            <w:r>
              <w:rPr>
                <w:rFonts w:ascii="宋体" w:hAnsi="宋体"/>
                <w:color w:val="000000"/>
                <w:sz w:val="24"/>
              </w:rPr>
              <w:t>6</w:t>
            </w:r>
            <w:r>
              <w:rPr>
                <w:rFonts w:ascii="宋体" w:hAnsi="宋体"/>
                <w:bCs/>
                <w:color w:val="000000"/>
                <w:sz w:val="24"/>
              </w:rPr>
              <w:t>、</w:t>
            </w:r>
            <w:r>
              <w:rPr>
                <w:rFonts w:ascii="宋体" w:hAnsi="宋体"/>
                <w:color w:val="000000"/>
                <w:sz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jc w:val="center"/>
        </w:trPr>
        <w:tc>
          <w:tcPr>
            <w:tcW w:w="1940" w:type="dxa"/>
            <w:shd w:val="clear" w:color="auto" w:fill="D8D8D8" w:themeFill="background1" w:themeFillShade="D9"/>
            <w:vAlign w:val="center"/>
          </w:tcPr>
          <w:p>
            <w:pPr>
              <w:pStyle w:val="5"/>
              <w:adjustRightInd w:val="0"/>
              <w:snapToGrid w:val="0"/>
              <w:spacing w:after="0"/>
              <w:jc w:val="center"/>
              <w:rPr>
                <w:rFonts w:hint="eastAsia" w:ascii="宋体" w:hAnsi="宋体"/>
                <w:b/>
                <w:color w:val="000000"/>
                <w:sz w:val="24"/>
              </w:rPr>
            </w:pPr>
            <w:r>
              <w:rPr>
                <w:rFonts w:ascii="宋体" w:hAnsi="宋体"/>
                <w:b/>
                <w:color w:val="000000"/>
                <w:sz w:val="24"/>
              </w:rPr>
              <w:t>备注</w:t>
            </w:r>
          </w:p>
        </w:tc>
        <w:tc>
          <w:tcPr>
            <w:tcW w:w="7700" w:type="dxa"/>
            <w:gridSpan w:val="2"/>
            <w:vAlign w:val="center"/>
          </w:tcPr>
          <w:p>
            <w:pPr>
              <w:pStyle w:val="5"/>
              <w:adjustRightInd w:val="0"/>
              <w:snapToGrid w:val="0"/>
              <w:spacing w:after="0" w:line="240" w:lineRule="auto"/>
              <w:rPr>
                <w:rFonts w:hint="eastAsia" w:ascii="宋体" w:hAnsi="宋体"/>
                <w:bCs/>
                <w:color w:val="000000"/>
                <w:sz w:val="24"/>
              </w:rPr>
            </w:pPr>
            <w:r>
              <w:rPr>
                <w:rFonts w:ascii="宋体" w:hAnsi="宋体"/>
                <w:color w:val="000000"/>
                <w:sz w:val="24"/>
              </w:rPr>
              <w:t>不适用</w:t>
            </w:r>
          </w:p>
        </w:tc>
      </w:tr>
    </w:tbl>
    <w:p>
      <w:bookmarkStart w:id="0" w:name="_GoBack"/>
      <w:bookmarkEnd w:id="0"/>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Simplified Arabic">
    <w:altName w:val="Segoe Print"/>
    <w:panose1 w:val="00000000000000000000"/>
    <w:charset w:val="B2"/>
    <w:family w:val="roman"/>
    <w:pitch w:val="default"/>
    <w:sig w:usb0="00000000" w:usb1="00000000" w:usb2="00000008" w:usb3="00000000" w:csb0="00000041" w:csb1="00000000"/>
  </w:font>
  <w:font w:name="楷体_GB2312">
    <w:panose1 w:val="02010609030101010101"/>
    <w:charset w:val="86"/>
    <w:family w:val="modern"/>
    <w:pitch w:val="default"/>
    <w:sig w:usb0="00000001" w:usb1="080E0000" w:usb2="0000000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ExMzQzYjBjMzBmYmQ5Y2I2Y2E3YmFjOTNlZWU1YjUifQ=="/>
  </w:docVars>
  <w:rsids>
    <w:rsidRoot w:val="511505E7"/>
    <w:rsid w:val="00001545"/>
    <w:rsid w:val="00003857"/>
    <w:rsid w:val="00017B95"/>
    <w:rsid w:val="00030D00"/>
    <w:rsid w:val="00040832"/>
    <w:rsid w:val="00041428"/>
    <w:rsid w:val="00042BDD"/>
    <w:rsid w:val="000728F1"/>
    <w:rsid w:val="0007692D"/>
    <w:rsid w:val="00087338"/>
    <w:rsid w:val="000916E8"/>
    <w:rsid w:val="0009246F"/>
    <w:rsid w:val="000A2A65"/>
    <w:rsid w:val="000A7E19"/>
    <w:rsid w:val="000B375A"/>
    <w:rsid w:val="000E449B"/>
    <w:rsid w:val="000F4D6E"/>
    <w:rsid w:val="0010063F"/>
    <w:rsid w:val="00111326"/>
    <w:rsid w:val="00114814"/>
    <w:rsid w:val="00116916"/>
    <w:rsid w:val="0012444E"/>
    <w:rsid w:val="0013364A"/>
    <w:rsid w:val="00133E5A"/>
    <w:rsid w:val="001477EC"/>
    <w:rsid w:val="00162F94"/>
    <w:rsid w:val="00163896"/>
    <w:rsid w:val="00164CDE"/>
    <w:rsid w:val="00173E89"/>
    <w:rsid w:val="00175169"/>
    <w:rsid w:val="001874E0"/>
    <w:rsid w:val="001A45FF"/>
    <w:rsid w:val="001B154A"/>
    <w:rsid w:val="001B50F2"/>
    <w:rsid w:val="001B55B9"/>
    <w:rsid w:val="001B60EF"/>
    <w:rsid w:val="001B7AAC"/>
    <w:rsid w:val="001C6148"/>
    <w:rsid w:val="001D4676"/>
    <w:rsid w:val="001F02B1"/>
    <w:rsid w:val="001F1C3C"/>
    <w:rsid w:val="001F2432"/>
    <w:rsid w:val="002065DC"/>
    <w:rsid w:val="00207AE7"/>
    <w:rsid w:val="00210326"/>
    <w:rsid w:val="00211B63"/>
    <w:rsid w:val="002143F0"/>
    <w:rsid w:val="0022179C"/>
    <w:rsid w:val="00221FCA"/>
    <w:rsid w:val="00222474"/>
    <w:rsid w:val="002249C6"/>
    <w:rsid w:val="00227DF2"/>
    <w:rsid w:val="0023250D"/>
    <w:rsid w:val="00236AE6"/>
    <w:rsid w:val="002440CF"/>
    <w:rsid w:val="002441A3"/>
    <w:rsid w:val="00244DF9"/>
    <w:rsid w:val="0025066F"/>
    <w:rsid w:val="00266465"/>
    <w:rsid w:val="0027647C"/>
    <w:rsid w:val="00276F85"/>
    <w:rsid w:val="0028045A"/>
    <w:rsid w:val="00280974"/>
    <w:rsid w:val="00284710"/>
    <w:rsid w:val="00293A6F"/>
    <w:rsid w:val="002A5024"/>
    <w:rsid w:val="002A6A70"/>
    <w:rsid w:val="002C28FF"/>
    <w:rsid w:val="002C5EA5"/>
    <w:rsid w:val="002E43F9"/>
    <w:rsid w:val="00311A8D"/>
    <w:rsid w:val="0031423E"/>
    <w:rsid w:val="00316408"/>
    <w:rsid w:val="00317D94"/>
    <w:rsid w:val="00332EAC"/>
    <w:rsid w:val="003400B8"/>
    <w:rsid w:val="0034372C"/>
    <w:rsid w:val="00346B84"/>
    <w:rsid w:val="00347F5E"/>
    <w:rsid w:val="003662FD"/>
    <w:rsid w:val="0036771F"/>
    <w:rsid w:val="00367A54"/>
    <w:rsid w:val="00380F79"/>
    <w:rsid w:val="0039347A"/>
    <w:rsid w:val="00397E12"/>
    <w:rsid w:val="003B0359"/>
    <w:rsid w:val="003B7EFD"/>
    <w:rsid w:val="003B7F75"/>
    <w:rsid w:val="003C2EEF"/>
    <w:rsid w:val="003C6901"/>
    <w:rsid w:val="003E0927"/>
    <w:rsid w:val="003E5D4D"/>
    <w:rsid w:val="00401BD6"/>
    <w:rsid w:val="00404355"/>
    <w:rsid w:val="004069BC"/>
    <w:rsid w:val="00410E50"/>
    <w:rsid w:val="004214F0"/>
    <w:rsid w:val="0042386B"/>
    <w:rsid w:val="00425D37"/>
    <w:rsid w:val="00425DDB"/>
    <w:rsid w:val="00431597"/>
    <w:rsid w:val="00446F83"/>
    <w:rsid w:val="00455A3A"/>
    <w:rsid w:val="00466332"/>
    <w:rsid w:val="004748E5"/>
    <w:rsid w:val="00475630"/>
    <w:rsid w:val="004817A6"/>
    <w:rsid w:val="00494442"/>
    <w:rsid w:val="004A0067"/>
    <w:rsid w:val="004A11E3"/>
    <w:rsid w:val="004A25B2"/>
    <w:rsid w:val="004A5D60"/>
    <w:rsid w:val="004B46C4"/>
    <w:rsid w:val="004B4DD1"/>
    <w:rsid w:val="004B6522"/>
    <w:rsid w:val="004B6CF9"/>
    <w:rsid w:val="004B74A2"/>
    <w:rsid w:val="004B78EE"/>
    <w:rsid w:val="004C0CB5"/>
    <w:rsid w:val="004C4C54"/>
    <w:rsid w:val="004C6304"/>
    <w:rsid w:val="004D68D1"/>
    <w:rsid w:val="004D7248"/>
    <w:rsid w:val="004E132B"/>
    <w:rsid w:val="004F7D46"/>
    <w:rsid w:val="00500F51"/>
    <w:rsid w:val="00504BEC"/>
    <w:rsid w:val="00507649"/>
    <w:rsid w:val="00507863"/>
    <w:rsid w:val="00515F77"/>
    <w:rsid w:val="00536174"/>
    <w:rsid w:val="0053645E"/>
    <w:rsid w:val="00536D00"/>
    <w:rsid w:val="00562CA8"/>
    <w:rsid w:val="00562EC8"/>
    <w:rsid w:val="005653C7"/>
    <w:rsid w:val="00595762"/>
    <w:rsid w:val="00596336"/>
    <w:rsid w:val="005A1732"/>
    <w:rsid w:val="005A2602"/>
    <w:rsid w:val="005B1753"/>
    <w:rsid w:val="005B77A0"/>
    <w:rsid w:val="005C4EFC"/>
    <w:rsid w:val="005D179F"/>
    <w:rsid w:val="005D34A0"/>
    <w:rsid w:val="005F7398"/>
    <w:rsid w:val="006000D7"/>
    <w:rsid w:val="006042AE"/>
    <w:rsid w:val="00604B3A"/>
    <w:rsid w:val="006064F9"/>
    <w:rsid w:val="00613FAB"/>
    <w:rsid w:val="00621CE4"/>
    <w:rsid w:val="0062408E"/>
    <w:rsid w:val="00627CE6"/>
    <w:rsid w:val="006301E3"/>
    <w:rsid w:val="00632165"/>
    <w:rsid w:val="00641B63"/>
    <w:rsid w:val="00646B45"/>
    <w:rsid w:val="00646E32"/>
    <w:rsid w:val="00653690"/>
    <w:rsid w:val="00654C8F"/>
    <w:rsid w:val="00661140"/>
    <w:rsid w:val="006624F1"/>
    <w:rsid w:val="00667309"/>
    <w:rsid w:val="006823F0"/>
    <w:rsid w:val="00686804"/>
    <w:rsid w:val="006A20C6"/>
    <w:rsid w:val="006A3534"/>
    <w:rsid w:val="006B1B59"/>
    <w:rsid w:val="006B41AA"/>
    <w:rsid w:val="006C1200"/>
    <w:rsid w:val="006C3B44"/>
    <w:rsid w:val="006C54C2"/>
    <w:rsid w:val="006C6024"/>
    <w:rsid w:val="006C6284"/>
    <w:rsid w:val="006D1498"/>
    <w:rsid w:val="006E1B06"/>
    <w:rsid w:val="006E6C59"/>
    <w:rsid w:val="006F2772"/>
    <w:rsid w:val="00704995"/>
    <w:rsid w:val="00707821"/>
    <w:rsid w:val="0071092A"/>
    <w:rsid w:val="007134EF"/>
    <w:rsid w:val="0071560C"/>
    <w:rsid w:val="0072474D"/>
    <w:rsid w:val="007323BB"/>
    <w:rsid w:val="00734F51"/>
    <w:rsid w:val="00735DF4"/>
    <w:rsid w:val="00742FEC"/>
    <w:rsid w:val="007465F0"/>
    <w:rsid w:val="0077526E"/>
    <w:rsid w:val="00777444"/>
    <w:rsid w:val="00783228"/>
    <w:rsid w:val="007A40C5"/>
    <w:rsid w:val="007B4403"/>
    <w:rsid w:val="007C226D"/>
    <w:rsid w:val="007C5C3C"/>
    <w:rsid w:val="007D48DE"/>
    <w:rsid w:val="007D63FA"/>
    <w:rsid w:val="007D680B"/>
    <w:rsid w:val="007E0C77"/>
    <w:rsid w:val="007E789D"/>
    <w:rsid w:val="007F3E01"/>
    <w:rsid w:val="007F54A2"/>
    <w:rsid w:val="007F706B"/>
    <w:rsid w:val="007F7A11"/>
    <w:rsid w:val="00816711"/>
    <w:rsid w:val="00826195"/>
    <w:rsid w:val="00826A5D"/>
    <w:rsid w:val="00846082"/>
    <w:rsid w:val="00847265"/>
    <w:rsid w:val="008472A3"/>
    <w:rsid w:val="00847E59"/>
    <w:rsid w:val="00862F51"/>
    <w:rsid w:val="008668E3"/>
    <w:rsid w:val="008702FE"/>
    <w:rsid w:val="00870558"/>
    <w:rsid w:val="00873737"/>
    <w:rsid w:val="00876497"/>
    <w:rsid w:val="00877413"/>
    <w:rsid w:val="00886A12"/>
    <w:rsid w:val="0089254E"/>
    <w:rsid w:val="008B3EBC"/>
    <w:rsid w:val="008B78E9"/>
    <w:rsid w:val="008C4C37"/>
    <w:rsid w:val="008C72C6"/>
    <w:rsid w:val="008D0561"/>
    <w:rsid w:val="008D4C61"/>
    <w:rsid w:val="008D648A"/>
    <w:rsid w:val="008F3197"/>
    <w:rsid w:val="008F5261"/>
    <w:rsid w:val="008F5F4C"/>
    <w:rsid w:val="00903B1B"/>
    <w:rsid w:val="009040AD"/>
    <w:rsid w:val="00905A02"/>
    <w:rsid w:val="00922C31"/>
    <w:rsid w:val="00927835"/>
    <w:rsid w:val="00934704"/>
    <w:rsid w:val="00934D60"/>
    <w:rsid w:val="0093555D"/>
    <w:rsid w:val="009466F6"/>
    <w:rsid w:val="00946F53"/>
    <w:rsid w:val="009478D6"/>
    <w:rsid w:val="00957152"/>
    <w:rsid w:val="009A6B07"/>
    <w:rsid w:val="009A7605"/>
    <w:rsid w:val="009B710B"/>
    <w:rsid w:val="009C10F0"/>
    <w:rsid w:val="009D4A72"/>
    <w:rsid w:val="009F1145"/>
    <w:rsid w:val="009F3676"/>
    <w:rsid w:val="00A035B4"/>
    <w:rsid w:val="00A11016"/>
    <w:rsid w:val="00A12B71"/>
    <w:rsid w:val="00A33CEC"/>
    <w:rsid w:val="00A33DA8"/>
    <w:rsid w:val="00A4069C"/>
    <w:rsid w:val="00A40D35"/>
    <w:rsid w:val="00A424EB"/>
    <w:rsid w:val="00A434A1"/>
    <w:rsid w:val="00A66795"/>
    <w:rsid w:val="00A7311F"/>
    <w:rsid w:val="00A73286"/>
    <w:rsid w:val="00A7511C"/>
    <w:rsid w:val="00A81150"/>
    <w:rsid w:val="00A944DA"/>
    <w:rsid w:val="00A9769A"/>
    <w:rsid w:val="00AA3ED9"/>
    <w:rsid w:val="00AA53B4"/>
    <w:rsid w:val="00AA5C58"/>
    <w:rsid w:val="00AB536E"/>
    <w:rsid w:val="00AB5B9E"/>
    <w:rsid w:val="00AD032A"/>
    <w:rsid w:val="00AD58C4"/>
    <w:rsid w:val="00AE2B3A"/>
    <w:rsid w:val="00AE7B38"/>
    <w:rsid w:val="00AF7386"/>
    <w:rsid w:val="00B11C52"/>
    <w:rsid w:val="00B17C2A"/>
    <w:rsid w:val="00B23131"/>
    <w:rsid w:val="00B24DEB"/>
    <w:rsid w:val="00B27B0C"/>
    <w:rsid w:val="00B31CD4"/>
    <w:rsid w:val="00B37795"/>
    <w:rsid w:val="00B37B53"/>
    <w:rsid w:val="00B45043"/>
    <w:rsid w:val="00B452A4"/>
    <w:rsid w:val="00B45330"/>
    <w:rsid w:val="00B6221B"/>
    <w:rsid w:val="00B646AB"/>
    <w:rsid w:val="00B75755"/>
    <w:rsid w:val="00B777DF"/>
    <w:rsid w:val="00B90F3B"/>
    <w:rsid w:val="00B93533"/>
    <w:rsid w:val="00B940ED"/>
    <w:rsid w:val="00B945D9"/>
    <w:rsid w:val="00BA20C5"/>
    <w:rsid w:val="00BA66C1"/>
    <w:rsid w:val="00BC4863"/>
    <w:rsid w:val="00BC5AB9"/>
    <w:rsid w:val="00BD3FB4"/>
    <w:rsid w:val="00BE051D"/>
    <w:rsid w:val="00BE1B10"/>
    <w:rsid w:val="00BF36D9"/>
    <w:rsid w:val="00BF5183"/>
    <w:rsid w:val="00BF6445"/>
    <w:rsid w:val="00C046B3"/>
    <w:rsid w:val="00C06038"/>
    <w:rsid w:val="00C215DB"/>
    <w:rsid w:val="00C27009"/>
    <w:rsid w:val="00C350C3"/>
    <w:rsid w:val="00C47232"/>
    <w:rsid w:val="00C5070F"/>
    <w:rsid w:val="00C523E5"/>
    <w:rsid w:val="00C7584C"/>
    <w:rsid w:val="00C77246"/>
    <w:rsid w:val="00C8240E"/>
    <w:rsid w:val="00C86BF7"/>
    <w:rsid w:val="00CA4254"/>
    <w:rsid w:val="00CB5C45"/>
    <w:rsid w:val="00CC3BE9"/>
    <w:rsid w:val="00CD1E99"/>
    <w:rsid w:val="00CD27DF"/>
    <w:rsid w:val="00CD756B"/>
    <w:rsid w:val="00CE066B"/>
    <w:rsid w:val="00CF0D37"/>
    <w:rsid w:val="00CF2DEE"/>
    <w:rsid w:val="00CF7530"/>
    <w:rsid w:val="00D02AFE"/>
    <w:rsid w:val="00D03942"/>
    <w:rsid w:val="00D04387"/>
    <w:rsid w:val="00D053EA"/>
    <w:rsid w:val="00D0733C"/>
    <w:rsid w:val="00D11F6E"/>
    <w:rsid w:val="00D14CED"/>
    <w:rsid w:val="00D40A45"/>
    <w:rsid w:val="00D44B4B"/>
    <w:rsid w:val="00D45FAF"/>
    <w:rsid w:val="00D50A73"/>
    <w:rsid w:val="00D546BD"/>
    <w:rsid w:val="00D659AE"/>
    <w:rsid w:val="00DA7417"/>
    <w:rsid w:val="00DB1217"/>
    <w:rsid w:val="00DB28F2"/>
    <w:rsid w:val="00DB5393"/>
    <w:rsid w:val="00DC6494"/>
    <w:rsid w:val="00DE24D8"/>
    <w:rsid w:val="00DE322B"/>
    <w:rsid w:val="00DF094C"/>
    <w:rsid w:val="00DF7E9E"/>
    <w:rsid w:val="00E23257"/>
    <w:rsid w:val="00E2401D"/>
    <w:rsid w:val="00E2571E"/>
    <w:rsid w:val="00E340BD"/>
    <w:rsid w:val="00E40607"/>
    <w:rsid w:val="00E40EB1"/>
    <w:rsid w:val="00E4263C"/>
    <w:rsid w:val="00E43BFE"/>
    <w:rsid w:val="00E44A24"/>
    <w:rsid w:val="00E466FD"/>
    <w:rsid w:val="00E5141F"/>
    <w:rsid w:val="00E62C2C"/>
    <w:rsid w:val="00E7403A"/>
    <w:rsid w:val="00E83EBA"/>
    <w:rsid w:val="00E871F9"/>
    <w:rsid w:val="00EB26D9"/>
    <w:rsid w:val="00EB3C9C"/>
    <w:rsid w:val="00EC33A1"/>
    <w:rsid w:val="00EC45C4"/>
    <w:rsid w:val="00ED0BB7"/>
    <w:rsid w:val="00ED41BF"/>
    <w:rsid w:val="00ED5B87"/>
    <w:rsid w:val="00EF6FB1"/>
    <w:rsid w:val="00F12B02"/>
    <w:rsid w:val="00F13E0E"/>
    <w:rsid w:val="00F1540C"/>
    <w:rsid w:val="00F17BFC"/>
    <w:rsid w:val="00F26897"/>
    <w:rsid w:val="00F31BD1"/>
    <w:rsid w:val="00F34BE0"/>
    <w:rsid w:val="00F43D0B"/>
    <w:rsid w:val="00F524DE"/>
    <w:rsid w:val="00F56463"/>
    <w:rsid w:val="00F63099"/>
    <w:rsid w:val="00F657A6"/>
    <w:rsid w:val="00F7053E"/>
    <w:rsid w:val="00F81796"/>
    <w:rsid w:val="00F82069"/>
    <w:rsid w:val="00F875D4"/>
    <w:rsid w:val="00F90810"/>
    <w:rsid w:val="00F934AA"/>
    <w:rsid w:val="00F96BC3"/>
    <w:rsid w:val="00F96E47"/>
    <w:rsid w:val="00F97290"/>
    <w:rsid w:val="00FA7A0D"/>
    <w:rsid w:val="00FB53A1"/>
    <w:rsid w:val="00FC4504"/>
    <w:rsid w:val="00FD21F0"/>
    <w:rsid w:val="00FD5EA5"/>
    <w:rsid w:val="00FF288E"/>
    <w:rsid w:val="00FF42DD"/>
    <w:rsid w:val="011DF4EB"/>
    <w:rsid w:val="01B165CE"/>
    <w:rsid w:val="0217304F"/>
    <w:rsid w:val="02515359"/>
    <w:rsid w:val="030313A4"/>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16B4A6A"/>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65E"/>
    <w:rsid w:val="3EBE2D3F"/>
    <w:rsid w:val="3ED7D01C"/>
    <w:rsid w:val="3EE73D98"/>
    <w:rsid w:val="3FFFF7A9"/>
    <w:rsid w:val="40D7777E"/>
    <w:rsid w:val="41D779C0"/>
    <w:rsid w:val="436E421B"/>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E606197"/>
    <w:rsid w:val="5E758AD3"/>
    <w:rsid w:val="5F5B3889"/>
    <w:rsid w:val="5F7404E1"/>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FBAE0"/>
    <w:rsid w:val="6E372E5F"/>
    <w:rsid w:val="6E786ABC"/>
    <w:rsid w:val="6FDF5799"/>
    <w:rsid w:val="710A7485"/>
    <w:rsid w:val="71394751"/>
    <w:rsid w:val="72131803"/>
    <w:rsid w:val="723024E6"/>
    <w:rsid w:val="73026B48"/>
    <w:rsid w:val="74566BED"/>
    <w:rsid w:val="74CE550B"/>
    <w:rsid w:val="767FE0B3"/>
    <w:rsid w:val="76CA40F3"/>
    <w:rsid w:val="77527FDF"/>
    <w:rsid w:val="77FFCFC3"/>
    <w:rsid w:val="78410251"/>
    <w:rsid w:val="793FB7A1"/>
    <w:rsid w:val="7A9C06E1"/>
    <w:rsid w:val="7AB91678"/>
    <w:rsid w:val="7B8F578C"/>
    <w:rsid w:val="7B9A66EF"/>
    <w:rsid w:val="7BE411F0"/>
    <w:rsid w:val="7BFFD823"/>
    <w:rsid w:val="7C7918BC"/>
    <w:rsid w:val="7E7DF0B9"/>
    <w:rsid w:val="7EE72273"/>
    <w:rsid w:val="7EF7CDD2"/>
    <w:rsid w:val="7F7BEB9D"/>
    <w:rsid w:val="7FBF2495"/>
    <w:rsid w:val="7FDCAB43"/>
    <w:rsid w:val="7FE91E78"/>
    <w:rsid w:val="7FFDE69B"/>
    <w:rsid w:val="9CBD0B1A"/>
    <w:rsid w:val="A7F9C1DE"/>
    <w:rsid w:val="B593FB7D"/>
    <w:rsid w:val="BCB7048F"/>
    <w:rsid w:val="BF8E36EE"/>
    <w:rsid w:val="BFDFB85E"/>
    <w:rsid w:val="BFF739EC"/>
    <w:rsid w:val="DDEFBA43"/>
    <w:rsid w:val="DEAFB90F"/>
    <w:rsid w:val="DF21B821"/>
    <w:rsid w:val="DFD76A11"/>
    <w:rsid w:val="E9F71F09"/>
    <w:rsid w:val="EAFD8D58"/>
    <w:rsid w:val="EB6C770B"/>
    <w:rsid w:val="EBCD181E"/>
    <w:rsid w:val="EFFFDD70"/>
    <w:rsid w:val="F1B778F1"/>
    <w:rsid w:val="F3FF743F"/>
    <w:rsid w:val="F4FF55F7"/>
    <w:rsid w:val="F7FD911C"/>
    <w:rsid w:val="F9DF2CA6"/>
    <w:rsid w:val="FB3326CC"/>
    <w:rsid w:val="FBCE4D19"/>
    <w:rsid w:val="FBDDC030"/>
    <w:rsid w:val="FDBF10AA"/>
    <w:rsid w:val="FDF970C7"/>
    <w:rsid w:val="FFB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link w:val="33"/>
    <w:qFormat/>
    <w:uiPriority w:val="99"/>
    <w:pPr>
      <w:jc w:val="left"/>
    </w:pPr>
  </w:style>
  <w:style w:type="paragraph" w:styleId="5">
    <w:name w:val="Body Text"/>
    <w:basedOn w:val="1"/>
    <w:next w:val="6"/>
    <w:link w:val="26"/>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endnote text"/>
    <w:basedOn w:val="1"/>
    <w:link w:val="30"/>
    <w:uiPriority w:val="0"/>
    <w:pPr>
      <w:snapToGrid w:val="0"/>
      <w:spacing w:after="0" w:line="240" w:lineRule="auto"/>
      <w:jc w:val="left"/>
    </w:pPr>
    <w:rPr>
      <w:rFonts w:ascii="Calibri" w:hAnsi="Calibri"/>
      <w:szCs w:val="22"/>
    </w:rPr>
  </w:style>
  <w:style w:type="paragraph" w:styleId="8">
    <w:name w:val="Balloon Text"/>
    <w:basedOn w:val="1"/>
    <w:link w:val="31"/>
    <w:unhideWhenUsed/>
    <w:qFormat/>
    <w:uiPriority w:val="99"/>
    <w:pPr>
      <w:spacing w:after="0" w:line="240" w:lineRule="auto"/>
    </w:pPr>
    <w:rPr>
      <w:rFonts w:ascii="Segoe UI" w:hAnsi="Segoe UI" w:cs="Segoe UI"/>
      <w:sz w:val="18"/>
      <w:szCs w:val="18"/>
    </w:rPr>
  </w:style>
  <w:style w:type="paragraph" w:styleId="9">
    <w:name w:val="footer"/>
    <w:basedOn w:val="1"/>
    <w:link w:val="25"/>
    <w:qFormat/>
    <w:uiPriority w:val="99"/>
    <w:pPr>
      <w:tabs>
        <w:tab w:val="center" w:pos="4153"/>
        <w:tab w:val="right" w:pos="8306"/>
      </w:tabs>
      <w:snapToGrid w:val="0"/>
      <w:jc w:val="left"/>
    </w:pPr>
    <w:rPr>
      <w:sz w:val="18"/>
      <w:szCs w:val="18"/>
    </w:rPr>
  </w:style>
  <w:style w:type="paragraph" w:styleId="10">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37"/>
    <w:qFormat/>
    <w:uiPriority w:val="99"/>
    <w:pPr>
      <w:snapToGrid w:val="0"/>
      <w:spacing w:after="0" w:line="240" w:lineRule="auto"/>
      <w:jc w:val="left"/>
    </w:pPr>
    <w:rPr>
      <w:sz w:val="18"/>
      <w:szCs w:val="18"/>
    </w:rPr>
  </w:style>
  <w:style w:type="paragraph" w:styleId="12">
    <w:name w:val="toc 2"/>
    <w:basedOn w:val="1"/>
    <w:next w:val="1"/>
    <w:qFormat/>
    <w:uiPriority w:val="0"/>
    <w:pPr>
      <w:ind w:left="420" w:leftChars="200"/>
    </w:pPr>
    <w:rPr>
      <w:sz w:val="30"/>
    </w:rPr>
  </w:style>
  <w:style w:type="paragraph" w:styleId="13">
    <w:name w:val="annotation subject"/>
    <w:basedOn w:val="4"/>
    <w:next w:val="4"/>
    <w:link w:val="34"/>
    <w:unhideWhenUsed/>
    <w:qFormat/>
    <w:uiPriority w:val="99"/>
    <w:pPr>
      <w:spacing w:after="0" w:line="240" w:lineRule="auto"/>
      <w:jc w:val="both"/>
    </w:pPr>
    <w:rPr>
      <w:rFonts w:ascii="Calibri" w:hAnsi="Calibri"/>
      <w:b/>
      <w:bCs/>
      <w:sz w:val="20"/>
      <w:szCs w:val="20"/>
    </w:r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page number"/>
    <w:qFormat/>
    <w:uiPriority w:val="0"/>
    <w:rPr>
      <w:rFonts w:ascii="Times New Roman" w:hAnsi="Times New Roman" w:eastAsia="宋体" w:cs="Simplified Arabic"/>
      <w:sz w:val="24"/>
      <w:szCs w:val="24"/>
      <w:lang w:val="en-GB" w:bidi="ar-AE"/>
    </w:rPr>
  </w:style>
  <w:style w:type="character" w:styleId="18">
    <w:name w:val="FollowedHyperlink"/>
    <w:basedOn w:val="16"/>
    <w:unhideWhenUsed/>
    <w:qFormat/>
    <w:uiPriority w:val="99"/>
    <w:rPr>
      <w:color w:val="954F72" w:themeColor="followedHyperlink"/>
      <w:u w:val="single"/>
      <w14:textFill>
        <w14:solidFill>
          <w14:schemeClr w14:val="folHlink"/>
        </w14:solidFill>
      </w14:textFill>
    </w:rPr>
  </w:style>
  <w:style w:type="character" w:styleId="19">
    <w:name w:val="Hyperlink"/>
    <w:basedOn w:val="16"/>
    <w:unhideWhenUsed/>
    <w:qFormat/>
    <w:uiPriority w:val="99"/>
    <w:rPr>
      <w:color w:val="0000FF"/>
      <w:u w:val="single"/>
    </w:rPr>
  </w:style>
  <w:style w:type="character" w:styleId="20">
    <w:name w:val="annotation reference"/>
    <w:basedOn w:val="16"/>
    <w:qFormat/>
    <w:uiPriority w:val="99"/>
    <w:rPr>
      <w:sz w:val="21"/>
      <w:szCs w:val="21"/>
    </w:rPr>
  </w:style>
  <w:style w:type="character" w:styleId="21">
    <w:name w:val="footnote reference"/>
    <w:qFormat/>
    <w:uiPriority w:val="99"/>
    <w:rPr>
      <w:vertAlign w:val="superscript"/>
    </w:rPr>
  </w:style>
  <w:style w:type="paragraph" w:customStyle="1" w:styleId="22">
    <w:name w:val="名称2"/>
    <w:basedOn w:val="23"/>
    <w:qFormat/>
    <w:uiPriority w:val="0"/>
    <w:pPr>
      <w:spacing w:after="312" w:afterLines="100"/>
    </w:pPr>
    <w:rPr>
      <w:b w:val="0"/>
      <w:sz w:val="20"/>
    </w:rPr>
  </w:style>
  <w:style w:type="paragraph" w:customStyle="1" w:styleId="23">
    <w:name w:val="名称"/>
    <w:basedOn w:val="1"/>
    <w:qFormat/>
    <w:uiPriority w:val="0"/>
    <w:pPr>
      <w:jc w:val="center"/>
    </w:pPr>
    <w:rPr>
      <w:b/>
      <w:kern w:val="0"/>
      <w:sz w:val="44"/>
      <w:szCs w:val="20"/>
    </w:rPr>
  </w:style>
  <w:style w:type="character" w:customStyle="1" w:styleId="24">
    <w:name w:val="页眉 字符"/>
    <w:basedOn w:val="16"/>
    <w:link w:val="10"/>
    <w:qFormat/>
    <w:uiPriority w:val="99"/>
    <w:rPr>
      <w:kern w:val="2"/>
      <w:sz w:val="18"/>
      <w:szCs w:val="18"/>
    </w:rPr>
  </w:style>
  <w:style w:type="character" w:customStyle="1" w:styleId="25">
    <w:name w:val="页脚 字符"/>
    <w:basedOn w:val="16"/>
    <w:link w:val="9"/>
    <w:qFormat/>
    <w:uiPriority w:val="99"/>
    <w:rPr>
      <w:kern w:val="2"/>
      <w:sz w:val="18"/>
      <w:szCs w:val="18"/>
    </w:rPr>
  </w:style>
  <w:style w:type="character" w:customStyle="1" w:styleId="26">
    <w:name w:val="正文文本 字符"/>
    <w:basedOn w:val="16"/>
    <w:link w:val="5"/>
    <w:qFormat/>
    <w:uiPriority w:val="99"/>
    <w:rPr>
      <w:rFonts w:ascii="Times New Roman" w:hAnsi="Times New Roman" w:eastAsia="宋体" w:cs="Times New Roman"/>
      <w:kern w:val="2"/>
      <w:sz w:val="21"/>
      <w:szCs w:val="24"/>
    </w:rPr>
  </w:style>
  <w:style w:type="paragraph" w:styleId="27">
    <w:name w:val="List Paragraph"/>
    <w:basedOn w:val="1"/>
    <w:qFormat/>
    <w:uiPriority w:val="34"/>
    <w:pPr>
      <w:ind w:firstLine="420" w:firstLineChars="200"/>
    </w:pPr>
  </w:style>
  <w:style w:type="paragraph" w:customStyle="1" w:styleId="28">
    <w:name w:val="Footer Right"/>
    <w:basedOn w:val="9"/>
    <w:qFormat/>
    <w:uiPriority w:val="0"/>
    <w:pPr>
      <w:jc w:val="right"/>
    </w:pPr>
  </w:style>
  <w:style w:type="paragraph" w:customStyle="1" w:styleId="29">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character" w:customStyle="1" w:styleId="30">
    <w:name w:val="尾注文本 字符"/>
    <w:basedOn w:val="16"/>
    <w:link w:val="7"/>
    <w:qFormat/>
    <w:uiPriority w:val="0"/>
    <w:rPr>
      <w:rFonts w:ascii="Calibri" w:hAnsi="Calibri"/>
      <w:kern w:val="2"/>
      <w:sz w:val="21"/>
      <w:szCs w:val="22"/>
    </w:rPr>
  </w:style>
  <w:style w:type="character" w:customStyle="1" w:styleId="31">
    <w:name w:val="批注框文本 字符"/>
    <w:basedOn w:val="16"/>
    <w:link w:val="8"/>
    <w:qFormat/>
    <w:uiPriority w:val="99"/>
    <w:rPr>
      <w:rFonts w:ascii="Segoe UI" w:hAnsi="Segoe UI" w:cs="Segoe UI"/>
      <w:kern w:val="2"/>
      <w:sz w:val="18"/>
      <w:szCs w:val="18"/>
    </w:rPr>
  </w:style>
  <w:style w:type="character" w:customStyle="1" w:styleId="32">
    <w:name w:val="批注文字 字符"/>
    <w:basedOn w:val="16"/>
    <w:qFormat/>
    <w:uiPriority w:val="99"/>
    <w:rPr>
      <w:rFonts w:ascii="Calibri" w:hAnsi="Calibri" w:eastAsia="宋体" w:cs="Times New Roman"/>
      <w:kern w:val="2"/>
      <w:sz w:val="20"/>
      <w:szCs w:val="20"/>
    </w:rPr>
  </w:style>
  <w:style w:type="character" w:customStyle="1" w:styleId="33">
    <w:name w:val="批注文字 字符1"/>
    <w:basedOn w:val="16"/>
    <w:link w:val="4"/>
    <w:qFormat/>
    <w:uiPriority w:val="99"/>
    <w:rPr>
      <w:kern w:val="2"/>
      <w:sz w:val="21"/>
      <w:szCs w:val="24"/>
    </w:rPr>
  </w:style>
  <w:style w:type="character" w:customStyle="1" w:styleId="34">
    <w:name w:val="批注主题 字符"/>
    <w:basedOn w:val="33"/>
    <w:link w:val="13"/>
    <w:qFormat/>
    <w:uiPriority w:val="99"/>
    <w:rPr>
      <w:rFonts w:ascii="Calibri" w:hAnsi="Calibri"/>
      <w:b/>
      <w:bCs/>
      <w:kern w:val="2"/>
      <w:sz w:val="21"/>
      <w:szCs w:val="24"/>
    </w:rPr>
  </w:style>
  <w:style w:type="paragraph" w:customStyle="1" w:styleId="35">
    <w:name w:val="MacPac Trailer"/>
    <w:qFormat/>
    <w:uiPriority w:val="0"/>
    <w:pPr>
      <w:widowControl w:val="0"/>
      <w:spacing w:after="160" w:line="170" w:lineRule="exact"/>
    </w:pPr>
    <w:rPr>
      <w:rFonts w:ascii="Times New Roman" w:hAnsi="Times New Roman" w:eastAsia="华文楷体" w:cs="Calibri"/>
      <w:sz w:val="14"/>
      <w:szCs w:val="22"/>
      <w:lang w:val="en-US" w:eastAsia="zh-CN" w:bidi="ar-SA"/>
    </w:rPr>
  </w:style>
  <w:style w:type="character" w:styleId="36">
    <w:name w:val="Placeholder Text"/>
    <w:basedOn w:val="16"/>
    <w:semiHidden/>
    <w:qFormat/>
    <w:uiPriority w:val="99"/>
    <w:rPr>
      <w:color w:val="808080"/>
    </w:rPr>
  </w:style>
  <w:style w:type="character" w:customStyle="1" w:styleId="37">
    <w:name w:val="脚注文本 字符"/>
    <w:basedOn w:val="16"/>
    <w:link w:val="11"/>
    <w:uiPriority w:val="99"/>
    <w:rPr>
      <w:kern w:val="2"/>
      <w:sz w:val="18"/>
      <w:szCs w:val="18"/>
    </w:rPr>
  </w:style>
  <w:style w:type="character" w:customStyle="1" w:styleId="38">
    <w:name w:val="Unresolved Mention1"/>
    <w:basedOn w:val="16"/>
    <w:semiHidden/>
    <w:unhideWhenUsed/>
    <w:qFormat/>
    <w:uiPriority w:val="99"/>
    <w:rPr>
      <w:color w:val="605E5C"/>
      <w:shd w:val="clear" w:color="auto" w:fill="E1DFDD"/>
    </w:rPr>
  </w:style>
  <w:style w:type="paragraph" w:customStyle="1" w:styleId="39">
    <w:name w:val="Revision"/>
    <w:hidden/>
    <w:semiHidden/>
    <w:qFormat/>
    <w:uiPriority w:val="99"/>
    <w:pPr>
      <w:spacing w:after="0" w:line="240" w:lineRule="auto"/>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BEF7B70C4AB7804C914BB3815B62750E" ma:contentTypeVersion="20" ma:contentTypeDescription="Create a new document." ma:contentTypeScope="" ma:versionID="d87905726dba26be2e4010deec9c168a">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4deedd5cfd2c64fe10be8e73ac6edd15"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lcf76f155ced4ddcb4097134ff3c332f xmlns="82ca9465-6592-4865-8df8-50b29f99d77c">
      <Terms xmlns="http://schemas.microsoft.com/office/infopath/2007/PartnerControls"/>
    </lcf76f155ced4ddcb4097134ff3c332f>
    <MigrationWizIdPermissionLevels xmlns="82ca9465-6592-4865-8df8-50b29f99d77c" xsi:nil="true"/>
    <TaxCatchAll xmlns="7f5a0742-ef6e-487d-b85c-bcb0b91a525f" xsi:nil="true"/>
    <MigrationWizId xmlns="82ca9465-6592-4865-8df8-50b29f99d77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ADF5B3-764E-44AC-9BB7-C882A6B7EC7B}">
  <ds:schemaRefs/>
</ds:datastoreItem>
</file>

<file path=customXml/itemProps3.xml><?xml version="1.0" encoding="utf-8"?>
<ds:datastoreItem xmlns:ds="http://schemas.openxmlformats.org/officeDocument/2006/customXml" ds:itemID="{8FAC413C-B05D-42D0-B37F-CDF17CE7D89F}">
  <ds:schemaRefs/>
</ds:datastoreItem>
</file>

<file path=customXml/itemProps4.xml><?xml version="1.0" encoding="utf-8"?>
<ds:datastoreItem xmlns:ds="http://schemas.openxmlformats.org/officeDocument/2006/customXml" ds:itemID="{99BF7644-13BB-437F-8A3F-E6B685454AD5}">
  <ds:schemaRefs/>
</ds:datastoreItem>
</file>

<file path=customXml/itemProps5.xml><?xml version="1.0" encoding="utf-8"?>
<ds:datastoreItem xmlns:ds="http://schemas.openxmlformats.org/officeDocument/2006/customXml" ds:itemID="{2E5D329A-531E-43C1-A0A9-24CC5D209769}">
  <ds:schemaRefs/>
</ds:datastoreItem>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733</Words>
  <Characters>835</Characters>
  <Lines>6</Lines>
  <Paragraphs>1</Paragraphs>
  <TotalTime>11</TotalTime>
  <ScaleCrop>false</ScaleCrop>
  <LinksUpToDate>false</LinksUpToDate>
  <CharactersWithSpaces>848</CharactersWithSpaces>
  <Application>WPS Office_11.8.2.12195_F1E327BC-269C-435d-A152-05C5408002CA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2024-08-09T04:05:00Z</dcterms:created>
  <dc:creator>张斌（反垄断处）</dc:creator>
  <cp:lastModifiedBy>admin</cp:lastModifiedBy>
  <cp:lastPrinted>2024-08-13T02:34:00Z</cp:lastPrinted>
  <dcterms:modified xsi:type="dcterms:W3CDTF">2024-08-15T09:17:59Z</dcterms:modified>
  <dc:title>关于经营者集中反垄断审查案件</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2F510BCF826C43248232D30198221AB7</vt:lpwstr>
  </property>
  <property fmtid="{D5CDD505-2E9C-101B-9397-08002B2CF9AE}" pid="4" name="docId">
    <vt:lpwstr>-</vt:lpwstr>
  </property>
  <property fmtid="{D5CDD505-2E9C-101B-9397-08002B2CF9AE}" pid="5" name="docVersion">
    <vt:lpwstr>0</vt:lpwstr>
  </property>
  <property fmtid="{D5CDD505-2E9C-101B-9397-08002B2CF9AE}" pid="6" name="docCliMat">
    <vt:lpwstr/>
  </property>
  <property fmtid="{D5CDD505-2E9C-101B-9397-08002B2CF9AE}" pid="7" name="docIncludeCliMat">
    <vt:lpwstr>true</vt:lpwstr>
  </property>
  <property fmtid="{D5CDD505-2E9C-101B-9397-08002B2CF9AE}" pid="8" name="docIncludeVersion">
    <vt:lpwstr>true</vt:lpwstr>
  </property>
  <property fmtid="{D5CDD505-2E9C-101B-9397-08002B2CF9AE}" pid="9" name="MSIP_Label_cbd44c7d-620d-47a0-b6d1-13ac1e5903bc_Enabled">
    <vt:lpwstr>true</vt:lpwstr>
  </property>
  <property fmtid="{D5CDD505-2E9C-101B-9397-08002B2CF9AE}" pid="10" name="MSIP_Label_cbd44c7d-620d-47a0-b6d1-13ac1e5903bc_SetDate">
    <vt:lpwstr>2022-02-15T01:10:47Z</vt:lpwstr>
  </property>
  <property fmtid="{D5CDD505-2E9C-101B-9397-08002B2CF9AE}" pid="11" name="MSIP_Label_cbd44c7d-620d-47a0-b6d1-13ac1e5903bc_Method">
    <vt:lpwstr>Standard</vt:lpwstr>
  </property>
  <property fmtid="{D5CDD505-2E9C-101B-9397-08002B2CF9AE}" pid="12" name="MSIP_Label_cbd44c7d-620d-47a0-b6d1-13ac1e5903bc_Name">
    <vt:lpwstr>Privilégiée - Pilote Affaires Juridiques</vt:lpwstr>
  </property>
  <property fmtid="{D5CDD505-2E9C-101B-9397-08002B2CF9AE}" pid="13" name="MSIP_Label_cbd44c7d-620d-47a0-b6d1-13ac1e5903bc_SiteId">
    <vt:lpwstr>0bdbe027-8f50-4ec3-843f-e27c41a63957</vt:lpwstr>
  </property>
  <property fmtid="{D5CDD505-2E9C-101B-9397-08002B2CF9AE}" pid="14" name="MSIP_Label_cbd44c7d-620d-47a0-b6d1-13ac1e5903bc_ActionId">
    <vt:lpwstr>deb58a57-db4c-44a1-8db5-c351775d4904</vt:lpwstr>
  </property>
  <property fmtid="{D5CDD505-2E9C-101B-9397-08002B2CF9AE}" pid="15" name="MSIP_Label_cbd44c7d-620d-47a0-b6d1-13ac1e5903bc_ContentBits">
    <vt:lpwstr>0</vt:lpwstr>
  </property>
  <property fmtid="{D5CDD505-2E9C-101B-9397-08002B2CF9AE}" pid="16" name="MSIP_Label_defa4170-0d19-0005-0004-bc88714345d2_Enabled">
    <vt:lpwstr>true</vt:lpwstr>
  </property>
  <property fmtid="{D5CDD505-2E9C-101B-9397-08002B2CF9AE}" pid="17" name="MSIP_Label_defa4170-0d19-0005-0004-bc88714345d2_SetDate">
    <vt:lpwstr>2022-09-27T04:47:23Z</vt:lpwstr>
  </property>
  <property fmtid="{D5CDD505-2E9C-101B-9397-08002B2CF9AE}" pid="18" name="MSIP_Label_defa4170-0d19-0005-0004-bc88714345d2_Method">
    <vt:lpwstr>Standard</vt:lpwstr>
  </property>
  <property fmtid="{D5CDD505-2E9C-101B-9397-08002B2CF9AE}" pid="19" name="MSIP_Label_defa4170-0d19-0005-0004-bc88714345d2_Name">
    <vt:lpwstr>defa4170-0d19-0005-0004-bc88714345d2</vt:lpwstr>
  </property>
  <property fmtid="{D5CDD505-2E9C-101B-9397-08002B2CF9AE}" pid="20" name="MSIP_Label_defa4170-0d19-0005-0004-bc88714345d2_SiteId">
    <vt:lpwstr>72cc5fdb-a93d-45a1-af73-3d9fe980f90f</vt:lpwstr>
  </property>
  <property fmtid="{D5CDD505-2E9C-101B-9397-08002B2CF9AE}" pid="21" name="MSIP_Label_defa4170-0d19-0005-0004-bc88714345d2_ActionId">
    <vt:lpwstr>81417ff5-279c-4b8e-bb40-8e927cba6698</vt:lpwstr>
  </property>
  <property fmtid="{D5CDD505-2E9C-101B-9397-08002B2CF9AE}" pid="22" name="MSIP_Label_defa4170-0d19-0005-0004-bc88714345d2_ContentBits">
    <vt:lpwstr>0</vt:lpwstr>
  </property>
  <property fmtid="{D5CDD505-2E9C-101B-9397-08002B2CF9AE}" pid="23" name="ContentTypeId">
    <vt:lpwstr>0x010100BEF7B70C4AB7804C914BB3815B62750E</vt:lpwstr>
  </property>
  <property fmtid="{D5CDD505-2E9C-101B-9397-08002B2CF9AE}" pid="24" name="MediaServiceImageTags">
    <vt:lpwstr/>
  </property>
</Properties>
</file>