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黑体" w:hAnsi="Times New Roman" w:eastAsia="黑体"/>
          <w:sz w:val="36"/>
          <w:szCs w:val="30"/>
        </w:rPr>
      </w:pPr>
      <w:r>
        <w:rPr>
          <w:rFonts w:hint="eastAsia" w:ascii="黑体" w:hAnsi="Times New Roman" w:eastAsia="黑体"/>
          <w:sz w:val="36"/>
          <w:szCs w:val="30"/>
        </w:rPr>
        <w:t>经营者集中简易案件公示表</w:t>
      </w:r>
    </w:p>
    <w:p>
      <w:pPr>
        <w:spacing w:line="440" w:lineRule="exact"/>
        <w:jc w:val="center"/>
        <w:rPr>
          <w:rFonts w:ascii="黑体" w:hAnsi="Times New Roman" w:eastAsia="黑体"/>
          <w:sz w:val="30"/>
          <w:szCs w:val="30"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588"/>
        <w:gridCol w:w="54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2" w:type="dxa"/>
            <w:shd w:val="clear" w:color="auto" w:fill="D9D9D9"/>
            <w:vAlign w:val="center"/>
          </w:tcPr>
          <w:p>
            <w:pPr>
              <w:jc w:val="lef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bookmarkStart w:id="0" w:name="_GoBack" w:colFirst="1" w:colLast="2"/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7028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textAlignment w:val="auto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中法水务投资有限公司收购金乡公用水务发展有限公司股权案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  <w:jc w:val="center"/>
        </w:trPr>
        <w:tc>
          <w:tcPr>
            <w:tcW w:w="1242" w:type="dxa"/>
            <w:shd w:val="clear" w:color="auto" w:fill="D9D9D9"/>
            <w:vAlign w:val="center"/>
          </w:tcPr>
          <w:p>
            <w:pPr>
              <w:jc w:val="lef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交易概况（限200字内）</w:t>
            </w:r>
          </w:p>
        </w:tc>
        <w:tc>
          <w:tcPr>
            <w:tcW w:w="7028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textAlignment w:val="auto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中法水务投资有限公司（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“</w:t>
            </w:r>
            <w:r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</w:rPr>
              <w:t>中法水务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”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）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与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山东公用水务集团有限公司（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“</w:t>
            </w:r>
            <w:r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</w:rPr>
              <w:t>山东</w:t>
            </w:r>
            <w:r>
              <w:rPr>
                <w:rFonts w:hint="eastAsia" w:ascii="Times New Roman" w:hAnsi="Times New Roman"/>
                <w:b/>
                <w:bCs/>
                <w:color w:val="333333"/>
                <w:kern w:val="0"/>
                <w:sz w:val="24"/>
                <w:szCs w:val="24"/>
              </w:rPr>
              <w:t>公用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”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）签署交易协议，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山东公用拟将其持有的金乡公用水务发展有限公司（“</w:t>
            </w:r>
            <w:r>
              <w:rPr>
                <w:rFonts w:hint="eastAsia" w:ascii="Times New Roman" w:hAnsi="Times New Roman"/>
                <w:b/>
                <w:bCs/>
                <w:color w:val="333333"/>
                <w:kern w:val="0"/>
                <w:sz w:val="24"/>
                <w:szCs w:val="24"/>
              </w:rPr>
              <w:t>金乡公用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”）49%的股权转让给中法水务。金乡公用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从事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工业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污水处理业务。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textAlignment w:val="auto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拟议交易完成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前，山东公用持有金乡公用100%股权，单独控制金乡公用；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拟议交易完成后，中法水务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和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山东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公用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将分别持有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金乡公用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49%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和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51%的股权，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金乡公用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将由中法水务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和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山东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公用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共同控制。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5" w:hRule="atLeast"/>
          <w:jc w:val="center"/>
        </w:trPr>
        <w:tc>
          <w:tcPr>
            <w:tcW w:w="1242" w:type="dxa"/>
            <w:vMerge w:val="restart"/>
            <w:shd w:val="clear" w:color="auto" w:fill="D9D9D9"/>
            <w:vAlign w:val="center"/>
          </w:tcPr>
          <w:p>
            <w:pPr>
              <w:jc w:val="lef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参与集中的经营者简介</w:t>
            </w:r>
          </w:p>
        </w:tc>
        <w:tc>
          <w:tcPr>
            <w:tcW w:w="158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auto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、中法水务</w:t>
            </w:r>
          </w:p>
        </w:tc>
        <w:tc>
          <w:tcPr>
            <w:tcW w:w="54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textAlignment w:val="auto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中法水务于1992年成立于中国香港，业务主要涉及供水、污水处理、固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体废弃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物（包括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危险废弃物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）的回收和再利用、水处理项目设备系统集成服务业务，以及咨询服务等。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textAlignment w:val="auto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中法水务的最终控制人为GIM Participation Fund Holding GP, Limited和Meridiam Infrastructure Partners SAS，二者均主要从事基金和资产管理业务。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  <w:jc w:val="center"/>
        </w:trPr>
        <w:tc>
          <w:tcPr>
            <w:tcW w:w="1242" w:type="dxa"/>
            <w:vMerge w:val="continue"/>
            <w:shd w:val="clear" w:color="auto" w:fill="D9D9D9"/>
            <w:vAlign w:val="center"/>
          </w:tcPr>
          <w:p>
            <w:pPr>
              <w:jc w:val="lef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588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auto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、山东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公用</w:t>
            </w:r>
          </w:p>
        </w:tc>
        <w:tc>
          <w:tcPr>
            <w:tcW w:w="5440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textAlignment w:val="auto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山东公用于2019年成立于山东省济宁市，主要在中国境内从事城市供水、农村供水、市政污水处理、水务工程施工等业务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textAlignment w:val="auto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山东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公用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的最终控制人为山东公用控股有限公司，其主要在中国境内从事城乡水务、热电联产、燃气供应、环保科技、建设工程、置业地产、商业运营以及金融服务等业务。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  <w:jc w:val="center"/>
        </w:trPr>
        <w:tc>
          <w:tcPr>
            <w:tcW w:w="1242" w:type="dxa"/>
            <w:vMerge w:val="restart"/>
            <w:shd w:val="clear" w:color="auto" w:fill="D9D9D9"/>
            <w:vAlign w:val="center"/>
          </w:tcPr>
          <w:p>
            <w:pPr>
              <w:jc w:val="lef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028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textAlignment w:val="auto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sym w:font="Wingdings" w:char="00A8"/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242" w:type="dxa"/>
            <w:vMerge w:val="continue"/>
            <w:shd w:val="clear" w:color="auto" w:fill="D9D9D9"/>
            <w:vAlign w:val="center"/>
          </w:tcPr>
          <w:p>
            <w:pPr>
              <w:jc w:val="lef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7028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textAlignment w:val="auto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42" w:type="dxa"/>
            <w:vMerge w:val="continue"/>
            <w:shd w:val="clear" w:color="auto" w:fill="D9D9D9"/>
            <w:vAlign w:val="center"/>
          </w:tcPr>
          <w:p>
            <w:pPr>
              <w:jc w:val="lef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7028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textAlignment w:val="auto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sym w:font="Wingdings" w:char="00A8"/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  <w:jc w:val="center"/>
        </w:trPr>
        <w:tc>
          <w:tcPr>
            <w:tcW w:w="1242" w:type="dxa"/>
            <w:vMerge w:val="continue"/>
            <w:shd w:val="clear" w:color="auto" w:fill="D9D9D9"/>
            <w:vAlign w:val="center"/>
          </w:tcPr>
          <w:p>
            <w:pPr>
              <w:jc w:val="lef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7028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textAlignment w:val="auto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sym w:font="Wingdings" w:char="00A8"/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1242" w:type="dxa"/>
            <w:vMerge w:val="continue"/>
            <w:shd w:val="clear" w:color="auto" w:fill="D9D9D9"/>
            <w:vAlign w:val="center"/>
          </w:tcPr>
          <w:p>
            <w:pPr>
              <w:jc w:val="lef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7028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textAlignment w:val="auto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sym w:font="Wingdings" w:char="00A8"/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242" w:type="dxa"/>
            <w:vMerge w:val="continue"/>
            <w:shd w:val="clear" w:color="auto" w:fill="D9D9D9"/>
            <w:vAlign w:val="center"/>
          </w:tcPr>
          <w:p>
            <w:pPr>
              <w:jc w:val="lef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7028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textAlignment w:val="auto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sym w:font="Wingdings" w:char="00A8"/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2" w:type="dxa"/>
            <w:shd w:val="clear" w:color="auto" w:fill="D9D9D9"/>
            <w:vAlign w:val="center"/>
          </w:tcPr>
          <w:p>
            <w:pPr>
              <w:jc w:val="lef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7028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auto"/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</w:rPr>
              <w:t>纵向关联：</w:t>
            </w:r>
          </w:p>
          <w:tbl>
            <w:tblPr>
              <w:tblStyle w:val="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265"/>
              <w:gridCol w:w="1950"/>
              <w:gridCol w:w="2582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5" w:type="dxa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80" w:lineRule="exact"/>
                    <w:jc w:val="center"/>
                    <w:textAlignment w:val="auto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  <w:t>相关商品市场</w:t>
                  </w:r>
                </w:p>
              </w:tc>
              <w:tc>
                <w:tcPr>
                  <w:tcW w:w="1950" w:type="dxa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80" w:lineRule="exact"/>
                    <w:jc w:val="center"/>
                    <w:textAlignment w:val="auto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2582" w:type="dxa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80" w:lineRule="exact"/>
                    <w:jc w:val="center"/>
                    <w:textAlignment w:val="auto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  <w:t>202</w:t>
                  </w:r>
                  <w:r>
                    <w:rPr>
                      <w:rFonts w:hint="eastAsia" w:ascii="Times New Roman" w:hAnsi="Times New Roman"/>
                      <w:color w:val="333333"/>
                      <w:kern w:val="0"/>
                      <w:sz w:val="24"/>
                      <w:szCs w:val="24"/>
                    </w:rPr>
                    <w:t>3</w:t>
                  </w:r>
                  <w:r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  <w:t>年市场份额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5" w:type="dxa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80" w:lineRule="exact"/>
                    <w:textAlignment w:val="auto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  <w:t>上游：水处理项目设备系统集成服务市场</w:t>
                  </w: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80" w:lineRule="exact"/>
                    <w:textAlignment w:val="auto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  <w:t>下游：</w:t>
                  </w:r>
                  <w:r>
                    <w:rPr>
                      <w:rFonts w:hint="eastAsia" w:ascii="Times New Roman" w:hAnsi="Times New Roman"/>
                      <w:color w:val="333333"/>
                      <w:kern w:val="0"/>
                      <w:sz w:val="24"/>
                      <w:szCs w:val="24"/>
                    </w:rPr>
                    <w:t>工业</w:t>
                  </w:r>
                  <w:r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  <w:t>污水处理市场</w:t>
                  </w:r>
                </w:p>
              </w:tc>
              <w:tc>
                <w:tcPr>
                  <w:tcW w:w="1950" w:type="dxa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80" w:lineRule="exact"/>
                    <w:jc w:val="left"/>
                    <w:textAlignment w:val="auto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  <w:t>上游：中国境内</w:t>
                  </w: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80" w:lineRule="exact"/>
                    <w:jc w:val="left"/>
                    <w:textAlignment w:val="auto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  <w:t>下游：中国境内</w:t>
                  </w:r>
                </w:p>
              </w:tc>
              <w:tc>
                <w:tcPr>
                  <w:tcW w:w="2582" w:type="dxa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80" w:lineRule="exact"/>
                    <w:textAlignment w:val="auto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  <w:t>上游：中国境内水处理项目设备系统集成服务市场</w:t>
                  </w: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80" w:lineRule="exact"/>
                    <w:textAlignment w:val="auto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  <w:t>中法水务：0-5%</w:t>
                  </w: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80" w:lineRule="exact"/>
                    <w:textAlignment w:val="auto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</w:pP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80" w:lineRule="exact"/>
                    <w:textAlignment w:val="auto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  <w:t>下游：中国境内</w:t>
                  </w:r>
                  <w:r>
                    <w:rPr>
                      <w:rFonts w:hint="eastAsia" w:ascii="Times New Roman" w:hAnsi="Times New Roman"/>
                      <w:color w:val="333333"/>
                      <w:kern w:val="0"/>
                      <w:sz w:val="24"/>
                      <w:szCs w:val="24"/>
                    </w:rPr>
                    <w:t>工业</w:t>
                  </w:r>
                  <w:r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  <w:t>污水处理市场</w:t>
                  </w: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80" w:lineRule="exact"/>
                    <w:textAlignment w:val="auto"/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333333"/>
                      <w:kern w:val="0"/>
                      <w:sz w:val="24"/>
                      <w:szCs w:val="24"/>
                    </w:rPr>
                    <w:t>中法水务：0-5%</w:t>
                  </w:r>
                </w:p>
              </w:tc>
            </w:tr>
          </w:tbl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auto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</w:tr>
      <w:bookmarkEnd w:id="0"/>
    </w:tbl>
    <w:p>
      <w:pPr>
        <w:spacing w:line="300" w:lineRule="auto"/>
        <w:jc w:val="left"/>
        <w:rPr>
          <w:rFonts w:ascii="Times New Roman" w:hAnsi="Times New Roman"/>
          <w:sz w:val="24"/>
          <w:szCs w:val="24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仿宋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Quicksand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  <w:font w:name="Quicksand Light">
    <w:panose1 w:val="00000400000000000000"/>
    <w:charset w:val="00"/>
    <w:family w:val="auto"/>
    <w:pitch w:val="default"/>
    <w:sig w:usb0="2000000F" w:usb1="00000001" w:usb2="00000000" w:usb3="00000000" w:csb0="20000193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  <w:rPr>
        <w:rFonts w:ascii="Times New Roman" w:hAnsi="Times New Roman"/>
        <w:sz w:val="18"/>
        <w:szCs w:val="18"/>
      </w:rPr>
    </w:pPr>
    <w:r>
      <w:rPr>
        <w:rFonts w:ascii="Times New Roman" w:hAnsi="Times New Roman"/>
        <w:sz w:val="18"/>
        <w:szCs w:val="18"/>
      </w:rPr>
      <w:fldChar w:fldCharType="begin"/>
    </w:r>
    <w:r>
      <w:rPr>
        <w:rFonts w:ascii="Times New Roman" w:hAnsi="Times New Roman"/>
        <w:sz w:val="18"/>
        <w:szCs w:val="18"/>
      </w:rPr>
      <w:instrText xml:space="preserve"> PAGE   \* MERGEFORMAT </w:instrText>
    </w:r>
    <w:r>
      <w:rPr>
        <w:rFonts w:ascii="Times New Roman" w:hAnsi="Times New Roman"/>
        <w:sz w:val="18"/>
        <w:szCs w:val="18"/>
      </w:rPr>
      <w:fldChar w:fldCharType="separate"/>
    </w:r>
    <w:r>
      <w:rPr>
        <w:rFonts w:ascii="Times New Roman" w:hAnsi="Times New Roman"/>
        <w:sz w:val="18"/>
        <w:szCs w:val="18"/>
      </w:rPr>
      <w:t>2</w:t>
    </w:r>
    <w:r>
      <w:rPr>
        <w:rFonts w:ascii="Times New Roman" w:hAnsi="Times New Roman"/>
        <w:sz w:val="18"/>
        <w:szCs w:val="18"/>
      </w:rPr>
      <w:fldChar w:fldCharType="end"/>
    </w:r>
    <w:r>
      <w:rPr>
        <w:rFonts w:ascii="Times New Roman" w:hAnsi="Times New Roman"/>
        <w:sz w:val="18"/>
        <w:szCs w:val="18"/>
      </w:rPr>
      <w:t xml:space="preserve"> / </w:t>
    </w:r>
    <w:r>
      <w:rPr>
        <w:rFonts w:ascii="Times New Roman" w:hAnsi="Times New Roman"/>
        <w:sz w:val="18"/>
        <w:szCs w:val="18"/>
      </w:rPr>
      <w:fldChar w:fldCharType="begin"/>
    </w:r>
    <w:r>
      <w:rPr>
        <w:rFonts w:ascii="Times New Roman" w:hAnsi="Times New Roman"/>
        <w:sz w:val="18"/>
        <w:szCs w:val="18"/>
      </w:rPr>
      <w:instrText xml:space="preserve"> NUMPAGES   \* MERGEFORMAT </w:instrText>
    </w:r>
    <w:r>
      <w:rPr>
        <w:rFonts w:ascii="Times New Roman" w:hAnsi="Times New Roman"/>
        <w:sz w:val="18"/>
        <w:szCs w:val="18"/>
      </w:rPr>
      <w:fldChar w:fldCharType="separate"/>
    </w:r>
    <w:r>
      <w:rPr>
        <w:rFonts w:ascii="Times New Roman" w:hAnsi="Times New Roman"/>
        <w:sz w:val="18"/>
        <w:szCs w:val="18"/>
      </w:rPr>
      <w:t>2</w:t>
    </w:r>
    <w:r>
      <w:rPr>
        <w:rFonts w:ascii="Times New Roman" w:hAnsi="Times New Roman"/>
        <w:sz w:val="18"/>
        <w:szCs w:val="18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UwN2M4Yzk2NDIwZTkxNjI0MTM5ZTc3ZTJjODE4YWEifQ=="/>
  </w:docVars>
  <w:rsids>
    <w:rsidRoot w:val="00CB00DF"/>
    <w:rsid w:val="00004DCC"/>
    <w:rsid w:val="00014627"/>
    <w:rsid w:val="00023601"/>
    <w:rsid w:val="00037065"/>
    <w:rsid w:val="000408D4"/>
    <w:rsid w:val="00042CBA"/>
    <w:rsid w:val="000724B9"/>
    <w:rsid w:val="000C0FA4"/>
    <w:rsid w:val="000C41AC"/>
    <w:rsid w:val="000D3380"/>
    <w:rsid w:val="000D7EBA"/>
    <w:rsid w:val="000F277E"/>
    <w:rsid w:val="001164CD"/>
    <w:rsid w:val="00122603"/>
    <w:rsid w:val="0013024F"/>
    <w:rsid w:val="001424AA"/>
    <w:rsid w:val="00155717"/>
    <w:rsid w:val="001837A3"/>
    <w:rsid w:val="001B2208"/>
    <w:rsid w:val="001C546C"/>
    <w:rsid w:val="00295CE7"/>
    <w:rsid w:val="002E06B5"/>
    <w:rsid w:val="002E7BCA"/>
    <w:rsid w:val="002F5AF0"/>
    <w:rsid w:val="00311261"/>
    <w:rsid w:val="00324BBF"/>
    <w:rsid w:val="003966D8"/>
    <w:rsid w:val="003C0AEB"/>
    <w:rsid w:val="004118D9"/>
    <w:rsid w:val="004216C3"/>
    <w:rsid w:val="00444D1D"/>
    <w:rsid w:val="004454BD"/>
    <w:rsid w:val="00476072"/>
    <w:rsid w:val="004A795C"/>
    <w:rsid w:val="004C49DD"/>
    <w:rsid w:val="004F4597"/>
    <w:rsid w:val="004F7688"/>
    <w:rsid w:val="005014ED"/>
    <w:rsid w:val="00501659"/>
    <w:rsid w:val="005619ED"/>
    <w:rsid w:val="0058136C"/>
    <w:rsid w:val="005A3781"/>
    <w:rsid w:val="005C02BF"/>
    <w:rsid w:val="005D22F2"/>
    <w:rsid w:val="005D6F71"/>
    <w:rsid w:val="005E4405"/>
    <w:rsid w:val="005E5BF1"/>
    <w:rsid w:val="005F52C2"/>
    <w:rsid w:val="00602362"/>
    <w:rsid w:val="00632BB5"/>
    <w:rsid w:val="00635D2D"/>
    <w:rsid w:val="00637A8A"/>
    <w:rsid w:val="006467D8"/>
    <w:rsid w:val="006768B6"/>
    <w:rsid w:val="0068591F"/>
    <w:rsid w:val="006A531B"/>
    <w:rsid w:val="006B7413"/>
    <w:rsid w:val="006C3FA2"/>
    <w:rsid w:val="006D0851"/>
    <w:rsid w:val="006D3A34"/>
    <w:rsid w:val="006F7693"/>
    <w:rsid w:val="00710140"/>
    <w:rsid w:val="0073600A"/>
    <w:rsid w:val="00745389"/>
    <w:rsid w:val="00750C04"/>
    <w:rsid w:val="007B22AD"/>
    <w:rsid w:val="007D3310"/>
    <w:rsid w:val="007D423A"/>
    <w:rsid w:val="007F1F29"/>
    <w:rsid w:val="007F2275"/>
    <w:rsid w:val="0088604C"/>
    <w:rsid w:val="008C386A"/>
    <w:rsid w:val="00915F0F"/>
    <w:rsid w:val="009532DF"/>
    <w:rsid w:val="009557D8"/>
    <w:rsid w:val="00987F54"/>
    <w:rsid w:val="00997019"/>
    <w:rsid w:val="009A158D"/>
    <w:rsid w:val="009A5029"/>
    <w:rsid w:val="009D38D5"/>
    <w:rsid w:val="009D69FE"/>
    <w:rsid w:val="009E17B4"/>
    <w:rsid w:val="00A00AD7"/>
    <w:rsid w:val="00A53F26"/>
    <w:rsid w:val="00A751F1"/>
    <w:rsid w:val="00A75D12"/>
    <w:rsid w:val="00AA0CC5"/>
    <w:rsid w:val="00AA2524"/>
    <w:rsid w:val="00B16AFE"/>
    <w:rsid w:val="00B271AA"/>
    <w:rsid w:val="00B422B4"/>
    <w:rsid w:val="00B65DD5"/>
    <w:rsid w:val="00B71474"/>
    <w:rsid w:val="00B96D6D"/>
    <w:rsid w:val="00BC6125"/>
    <w:rsid w:val="00BC7F29"/>
    <w:rsid w:val="00BD10B6"/>
    <w:rsid w:val="00BE105C"/>
    <w:rsid w:val="00BE38F1"/>
    <w:rsid w:val="00C06EF0"/>
    <w:rsid w:val="00C07076"/>
    <w:rsid w:val="00C07CF5"/>
    <w:rsid w:val="00C159D9"/>
    <w:rsid w:val="00C22E07"/>
    <w:rsid w:val="00C46A9E"/>
    <w:rsid w:val="00C524B9"/>
    <w:rsid w:val="00C81963"/>
    <w:rsid w:val="00CB00DF"/>
    <w:rsid w:val="00CD219A"/>
    <w:rsid w:val="00CE37CC"/>
    <w:rsid w:val="00D11B55"/>
    <w:rsid w:val="00D73C72"/>
    <w:rsid w:val="00D941C7"/>
    <w:rsid w:val="00DA1B89"/>
    <w:rsid w:val="00DA2808"/>
    <w:rsid w:val="00DC059C"/>
    <w:rsid w:val="00DC6498"/>
    <w:rsid w:val="00DC70AD"/>
    <w:rsid w:val="00DE5C1E"/>
    <w:rsid w:val="00E0592B"/>
    <w:rsid w:val="00E1045A"/>
    <w:rsid w:val="00E31738"/>
    <w:rsid w:val="00E4488B"/>
    <w:rsid w:val="00E4724F"/>
    <w:rsid w:val="00E4762F"/>
    <w:rsid w:val="00E479CE"/>
    <w:rsid w:val="00E47EAD"/>
    <w:rsid w:val="00E86786"/>
    <w:rsid w:val="00EA0383"/>
    <w:rsid w:val="00EC16D8"/>
    <w:rsid w:val="00EC6F91"/>
    <w:rsid w:val="00ED2F80"/>
    <w:rsid w:val="00EE1499"/>
    <w:rsid w:val="00EF0F79"/>
    <w:rsid w:val="00F14D31"/>
    <w:rsid w:val="00F1584B"/>
    <w:rsid w:val="00F1624E"/>
    <w:rsid w:val="00F32F8A"/>
    <w:rsid w:val="00F3464F"/>
    <w:rsid w:val="00F40FF4"/>
    <w:rsid w:val="00F46DD6"/>
    <w:rsid w:val="00F77F2C"/>
    <w:rsid w:val="00F810AA"/>
    <w:rsid w:val="00F94A69"/>
    <w:rsid w:val="00FA28F4"/>
    <w:rsid w:val="00FB43EC"/>
    <w:rsid w:val="00FB6B40"/>
    <w:rsid w:val="00FC52C3"/>
    <w:rsid w:val="00FF6EC4"/>
    <w:rsid w:val="056703FD"/>
    <w:rsid w:val="05BE1FE7"/>
    <w:rsid w:val="0FDD4B16"/>
    <w:rsid w:val="119836EC"/>
    <w:rsid w:val="1C406E5A"/>
    <w:rsid w:val="1C735482"/>
    <w:rsid w:val="22F866E1"/>
    <w:rsid w:val="26D7660D"/>
    <w:rsid w:val="294855A0"/>
    <w:rsid w:val="32357C3F"/>
    <w:rsid w:val="3DB836E3"/>
    <w:rsid w:val="4B2652EA"/>
    <w:rsid w:val="526A278D"/>
    <w:rsid w:val="575EBA88"/>
    <w:rsid w:val="58022C3B"/>
    <w:rsid w:val="5E8A728D"/>
    <w:rsid w:val="60883EF9"/>
    <w:rsid w:val="60956D42"/>
    <w:rsid w:val="675F40C8"/>
    <w:rsid w:val="6EB011EB"/>
    <w:rsid w:val="771537E0"/>
    <w:rsid w:val="7FF56A5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3"/>
    <w:unhideWhenUsed/>
    <w:qFormat/>
    <w:uiPriority w:val="99"/>
    <w:rPr>
      <w:sz w:val="20"/>
      <w:szCs w:val="20"/>
    </w:rPr>
  </w:style>
  <w:style w:type="paragraph" w:styleId="3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</w:pPr>
  </w:style>
  <w:style w:type="paragraph" w:styleId="5">
    <w:name w:val="header"/>
    <w:basedOn w:val="1"/>
    <w:link w:val="11"/>
    <w:unhideWhenUsed/>
    <w:qFormat/>
    <w:uiPriority w:val="99"/>
    <w:pPr>
      <w:tabs>
        <w:tab w:val="center" w:pos="4153"/>
        <w:tab w:val="right" w:pos="8306"/>
      </w:tabs>
    </w:pPr>
  </w:style>
  <w:style w:type="paragraph" w:styleId="6">
    <w:name w:val="annotation subject"/>
    <w:basedOn w:val="2"/>
    <w:next w:val="2"/>
    <w:link w:val="14"/>
    <w:semiHidden/>
    <w:unhideWhenUsed/>
    <w:qFormat/>
    <w:uiPriority w:val="99"/>
    <w:rPr>
      <w:b/>
      <w:bCs/>
    </w:rPr>
  </w:style>
  <w:style w:type="table" w:styleId="8">
    <w:name w:val="Table Grid"/>
    <w:basedOn w:val="7"/>
    <w:unhideWhenUsed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basedOn w:val="9"/>
    <w:semiHidden/>
    <w:unhideWhenUsed/>
    <w:qFormat/>
    <w:uiPriority w:val="99"/>
    <w:rPr>
      <w:sz w:val="16"/>
      <w:szCs w:val="16"/>
    </w:rPr>
  </w:style>
  <w:style w:type="character" w:customStyle="1" w:styleId="11">
    <w:name w:val="页眉 字符"/>
    <w:basedOn w:val="9"/>
    <w:link w:val="5"/>
    <w:qFormat/>
    <w:uiPriority w:val="99"/>
    <w:rPr>
      <w:rFonts w:ascii="Calibri" w:hAnsi="Calibri" w:eastAsia="宋体" w:cs="Times New Roman"/>
    </w:rPr>
  </w:style>
  <w:style w:type="character" w:customStyle="1" w:styleId="12">
    <w:name w:val="页脚 字符"/>
    <w:basedOn w:val="9"/>
    <w:link w:val="4"/>
    <w:qFormat/>
    <w:uiPriority w:val="99"/>
    <w:rPr>
      <w:rFonts w:ascii="Calibri" w:hAnsi="Calibri" w:eastAsia="宋体" w:cs="Times New Roman"/>
    </w:rPr>
  </w:style>
  <w:style w:type="character" w:customStyle="1" w:styleId="13">
    <w:name w:val="批注文字 字符"/>
    <w:basedOn w:val="9"/>
    <w:link w:val="2"/>
    <w:qFormat/>
    <w:uiPriority w:val="99"/>
    <w:rPr>
      <w:rFonts w:ascii="Calibri" w:hAnsi="Calibri" w:eastAsia="宋体" w:cs="Times New Roman"/>
      <w:sz w:val="20"/>
      <w:szCs w:val="20"/>
    </w:rPr>
  </w:style>
  <w:style w:type="character" w:customStyle="1" w:styleId="14">
    <w:name w:val="批注主题 字符"/>
    <w:basedOn w:val="13"/>
    <w:link w:val="6"/>
    <w:semiHidden/>
    <w:qFormat/>
    <w:uiPriority w:val="99"/>
    <w:rPr>
      <w:rFonts w:ascii="Calibri" w:hAnsi="Calibri" w:eastAsia="宋体" w:cs="Times New Roman"/>
      <w:b/>
      <w:bCs/>
      <w:sz w:val="20"/>
      <w:szCs w:val="20"/>
    </w:rPr>
  </w:style>
  <w:style w:type="character" w:customStyle="1" w:styleId="15">
    <w:name w:val="批注框文本 字符"/>
    <w:basedOn w:val="9"/>
    <w:link w:val="3"/>
    <w:semiHidden/>
    <w:qFormat/>
    <w:uiPriority w:val="99"/>
    <w:rPr>
      <w:rFonts w:ascii="Calibri" w:hAnsi="Calibri" w:eastAsia="宋体" w:cs="Times New Roman"/>
      <w:sz w:val="18"/>
      <w:szCs w:val="18"/>
    </w:rPr>
  </w:style>
  <w:style w:type="paragraph" w:customStyle="1" w:styleId="16">
    <w:name w:val="修订1"/>
    <w:hidden/>
    <w:semiHidden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">
    <w:name w:val="修订2"/>
    <w:hidden/>
    <w:unhideWhenUsed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">
    <w:name w:val="Revision"/>
    <w:hidden/>
    <w:unhideWhenUsed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156</Words>
  <Characters>894</Characters>
  <Lines>7</Lines>
  <Paragraphs>2</Paragraphs>
  <TotalTime>0</TotalTime>
  <ScaleCrop>false</ScaleCrop>
  <LinksUpToDate>false</LinksUpToDate>
  <CharactersWithSpaces>1048</CharactersWithSpaces>
  <Application>WPS Office_11.8.2.10337_F1E327BC-269C-435d-A152-05C5408002CA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2024-09-27T14:06:00Z</dcterms:created>
  <dc:creator>陈媚</dc:creator>
  <cp:lastModifiedBy>scjgj</cp:lastModifiedBy>
  <dcterms:modified xsi:type="dcterms:W3CDTF">2024-09-27T16:24:49Z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2052-11.8.2.10337</vt:lpwstr>
  </property>
  <property fmtid="{D5CDD505-2E9C-101B-9397-08002B2CF9AE}" pid="3" name="ICV">
    <vt:lpwstr>3ED0105FA4B7416994D7D2BBD52FF4A1_13</vt:lpwstr>
  </property>
</Properties>
</file>