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6C833" w14:textId="77777777" w:rsidR="0032773B" w:rsidRDefault="00000000">
      <w:pPr>
        <w:spacing w:line="440" w:lineRule="exact"/>
        <w:jc w:val="center"/>
        <w:rPr>
          <w:rFonts w:ascii="黑体" w:eastAsia="黑体" w:hAnsi="黑体" w:hint="eastAsia"/>
          <w:b/>
          <w:sz w:val="36"/>
          <w:szCs w:val="32"/>
        </w:rPr>
      </w:pPr>
      <w:r>
        <w:rPr>
          <w:rFonts w:ascii="黑体" w:eastAsia="黑体" w:hAnsi="黑体"/>
          <w:b/>
          <w:sz w:val="36"/>
          <w:szCs w:val="32"/>
        </w:rPr>
        <w:t>经营者集中简易案件公示表</w:t>
      </w:r>
    </w:p>
    <w:p w14:paraId="30DD8089" w14:textId="77777777" w:rsidR="0032773B" w:rsidRDefault="0032773B">
      <w:pPr>
        <w:snapToGrid w:val="0"/>
        <w:spacing w:afterLines="50" w:after="156"/>
        <w:jc w:val="center"/>
        <w:rPr>
          <w:rFonts w:ascii="Times New Roman Italic" w:hAnsi="Times New Roman Italic" w:cs="Times New Roman Italic"/>
          <w:bCs/>
          <w:i/>
          <w:iCs/>
          <w:sz w:val="24"/>
          <w:szCs w:val="24"/>
          <w:highlight w:val="yellow"/>
        </w:rPr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5103"/>
      </w:tblGrid>
      <w:tr w:rsidR="0032773B" w14:paraId="3E7F262F" w14:textId="77777777">
        <w:tc>
          <w:tcPr>
            <w:tcW w:w="1696" w:type="dxa"/>
            <w:shd w:val="clear" w:color="auto" w:fill="D9D9D9"/>
          </w:tcPr>
          <w:p w14:paraId="6F52D1DB" w14:textId="77777777" w:rsidR="0032773B" w:rsidRDefault="00000000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案件名称</w:t>
            </w:r>
          </w:p>
        </w:tc>
        <w:tc>
          <w:tcPr>
            <w:tcW w:w="6521" w:type="dxa"/>
            <w:gridSpan w:val="2"/>
            <w:vAlign w:val="center"/>
          </w:tcPr>
          <w:p w14:paraId="57499FAA" w14:textId="77777777" w:rsidR="0032773B" w:rsidRDefault="00000000">
            <w:pPr>
              <w:widowControl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塞斯</w:t>
            </w:r>
            <w:proofErr w:type="gramStart"/>
            <w:r>
              <w:rPr>
                <w:rFonts w:hint="eastAsia"/>
                <w:kern w:val="0"/>
                <w:sz w:val="24"/>
                <w:szCs w:val="24"/>
              </w:rPr>
              <w:t>潘</w:t>
            </w:r>
            <w:proofErr w:type="gramEnd"/>
            <w:r>
              <w:rPr>
                <w:rFonts w:hint="eastAsia"/>
                <w:kern w:val="0"/>
                <w:sz w:val="24"/>
                <w:szCs w:val="24"/>
              </w:rPr>
              <w:t>公司收购</w:t>
            </w:r>
            <w:proofErr w:type="gramStart"/>
            <w:r>
              <w:rPr>
                <w:rFonts w:hint="eastAsia"/>
                <w:kern w:val="0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kern w:val="0"/>
                <w:sz w:val="24"/>
                <w:szCs w:val="24"/>
              </w:rPr>
              <w:t>海解决方案有限公司股权案</w:t>
            </w:r>
          </w:p>
        </w:tc>
      </w:tr>
      <w:tr w:rsidR="0032773B" w14:paraId="526C5EC3" w14:textId="77777777">
        <w:trPr>
          <w:trHeight w:val="1538"/>
        </w:trPr>
        <w:tc>
          <w:tcPr>
            <w:tcW w:w="1696" w:type="dxa"/>
            <w:shd w:val="clear" w:color="auto" w:fill="D9D9D9"/>
          </w:tcPr>
          <w:p w14:paraId="2EE8A25B" w14:textId="77777777" w:rsidR="0032773B" w:rsidRDefault="00000000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交易概况（限</w:t>
            </w:r>
            <w:r>
              <w:rPr>
                <w:b/>
                <w:bCs/>
                <w:sz w:val="24"/>
                <w:szCs w:val="24"/>
              </w:rPr>
              <w:t>200</w:t>
            </w:r>
            <w:r>
              <w:rPr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521" w:type="dxa"/>
            <w:gridSpan w:val="2"/>
          </w:tcPr>
          <w:p w14:paraId="39D128AB" w14:textId="77777777" w:rsidR="0032773B" w:rsidRDefault="00000000">
            <w:pPr>
              <w:widowControl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塞斯</w:t>
            </w:r>
            <w:proofErr w:type="gramStart"/>
            <w:r>
              <w:rPr>
                <w:rFonts w:hint="eastAsia"/>
                <w:sz w:val="24"/>
                <w:szCs w:val="24"/>
                <w:lang w:bidi="ar"/>
              </w:rPr>
              <w:t>潘</w:t>
            </w:r>
            <w:proofErr w:type="gramEnd"/>
            <w:r>
              <w:rPr>
                <w:rFonts w:hint="eastAsia"/>
                <w:sz w:val="24"/>
                <w:szCs w:val="24"/>
                <w:lang w:bidi="ar"/>
              </w:rPr>
              <w:t>公司（</w:t>
            </w:r>
            <w:r>
              <w:rPr>
                <w:rFonts w:hint="eastAsia"/>
                <w:b/>
                <w:bCs/>
                <w:sz w:val="24"/>
                <w:szCs w:val="24"/>
                <w:lang w:bidi="ar"/>
              </w:rPr>
              <w:t>“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塞斯潘</w:t>
            </w:r>
            <w:r>
              <w:rPr>
                <w:rFonts w:hint="eastAsia"/>
                <w:b/>
                <w:bCs/>
                <w:sz w:val="24"/>
                <w:szCs w:val="24"/>
                <w:lang w:bidi="ar"/>
              </w:rPr>
              <w:t>”</w:t>
            </w:r>
            <w:r>
              <w:rPr>
                <w:rFonts w:hint="eastAsia"/>
                <w:sz w:val="24"/>
                <w:szCs w:val="24"/>
                <w:lang w:bidi="ar"/>
              </w:rPr>
              <w:t>）、</w:t>
            </w:r>
            <w:proofErr w:type="gramStart"/>
            <w:r>
              <w:rPr>
                <w:rFonts w:hint="eastAsia"/>
                <w:sz w:val="24"/>
                <w:szCs w:val="24"/>
                <w:lang w:bidi="ar"/>
              </w:rPr>
              <w:t>海洋网</w:t>
            </w:r>
            <w:proofErr w:type="gramEnd"/>
            <w:r>
              <w:rPr>
                <w:rFonts w:hint="eastAsia"/>
                <w:sz w:val="24"/>
                <w:szCs w:val="24"/>
                <w:lang w:bidi="ar"/>
              </w:rPr>
              <w:t>联船务有限公司（</w:t>
            </w:r>
            <w:r>
              <w:rPr>
                <w:rFonts w:hint="eastAsia"/>
                <w:b/>
                <w:bCs/>
                <w:sz w:val="24"/>
                <w:szCs w:val="24"/>
                <w:lang w:bidi="ar"/>
              </w:rPr>
              <w:t>“海洋网联船务”</w:t>
            </w:r>
            <w:r>
              <w:rPr>
                <w:rFonts w:hint="eastAsia"/>
                <w:sz w:val="24"/>
                <w:szCs w:val="24"/>
                <w:lang w:bidi="ar"/>
              </w:rPr>
              <w:t>）及</w:t>
            </w:r>
            <w:proofErr w:type="gramStart"/>
            <w:r>
              <w:rPr>
                <w:rFonts w:hint="eastAsia"/>
                <w:kern w:val="0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kern w:val="0"/>
                <w:sz w:val="24"/>
                <w:szCs w:val="24"/>
              </w:rPr>
              <w:t>海解决方案有限公司</w:t>
            </w:r>
            <w:r>
              <w:rPr>
                <w:rFonts w:hint="eastAsia"/>
                <w:sz w:val="24"/>
                <w:szCs w:val="24"/>
                <w:lang w:bidi="ar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bidi="ar"/>
              </w:rPr>
              <w:t>“目标公司”</w:t>
            </w:r>
            <w:r>
              <w:rPr>
                <w:rFonts w:hint="eastAsia"/>
                <w:sz w:val="24"/>
                <w:szCs w:val="24"/>
                <w:lang w:bidi="ar"/>
              </w:rPr>
              <w:t>）签署了相关交易协议，根据协议，塞斯</w:t>
            </w:r>
            <w:proofErr w:type="gramStart"/>
            <w:r>
              <w:rPr>
                <w:rFonts w:hint="eastAsia"/>
                <w:sz w:val="24"/>
                <w:szCs w:val="24"/>
                <w:lang w:bidi="ar"/>
              </w:rPr>
              <w:t>潘</w:t>
            </w:r>
            <w:proofErr w:type="gramEnd"/>
            <w:r>
              <w:rPr>
                <w:rFonts w:hint="eastAsia"/>
                <w:sz w:val="24"/>
                <w:szCs w:val="24"/>
                <w:lang w:bidi="ar"/>
              </w:rPr>
              <w:t>将认购并收购目标公司</w:t>
            </w:r>
            <w:r>
              <w:rPr>
                <w:rFonts w:hint="eastAsia"/>
                <w:sz w:val="24"/>
                <w:szCs w:val="24"/>
                <w:lang w:bidi="ar"/>
              </w:rPr>
              <w:t>50%</w:t>
            </w:r>
            <w:r>
              <w:rPr>
                <w:rFonts w:hint="eastAsia"/>
                <w:sz w:val="24"/>
                <w:szCs w:val="24"/>
                <w:lang w:bidi="ar"/>
              </w:rPr>
              <w:t>的已发行</w:t>
            </w:r>
            <w:proofErr w:type="gramStart"/>
            <w:r>
              <w:rPr>
                <w:rFonts w:hint="eastAsia"/>
                <w:sz w:val="24"/>
                <w:szCs w:val="24"/>
                <w:lang w:bidi="ar"/>
              </w:rPr>
              <w:t>及足缴股本</w:t>
            </w:r>
            <w:proofErr w:type="gramEnd"/>
            <w:r>
              <w:rPr>
                <w:rFonts w:hint="eastAsia"/>
                <w:sz w:val="24"/>
                <w:szCs w:val="24"/>
                <w:lang w:bidi="ar"/>
              </w:rPr>
              <w:t>。目标公司将主要向其母公司提供船舶管理服务。</w:t>
            </w:r>
          </w:p>
          <w:p w14:paraId="6AAD95A7" w14:textId="77777777" w:rsidR="0032773B" w:rsidRDefault="0032773B">
            <w:pPr>
              <w:widowControl/>
              <w:snapToGrid w:val="0"/>
              <w:rPr>
                <w:sz w:val="24"/>
                <w:szCs w:val="24"/>
              </w:rPr>
            </w:pPr>
          </w:p>
          <w:p w14:paraId="2DA94943" w14:textId="77777777" w:rsidR="0032773B" w:rsidRDefault="00000000">
            <w:pPr>
              <w:snapToGrid w:val="0"/>
              <w:rPr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/>
                <w:sz w:val="24"/>
                <w:szCs w:val="24"/>
              </w:rPr>
              <w:t>本次交易前，目标公司由</w:t>
            </w:r>
            <w:proofErr w:type="gramStart"/>
            <w:r>
              <w:rPr>
                <w:rFonts w:hint="eastAsia"/>
                <w:sz w:val="24"/>
                <w:szCs w:val="24"/>
              </w:rPr>
              <w:t>海洋网</w:t>
            </w:r>
            <w:proofErr w:type="gramEnd"/>
            <w:r>
              <w:rPr>
                <w:rFonts w:hint="eastAsia"/>
                <w:sz w:val="24"/>
                <w:szCs w:val="24"/>
              </w:rPr>
              <w:t>联船务全资拥有并单独控制。本次交易后，</w:t>
            </w:r>
            <w:proofErr w:type="gramStart"/>
            <w:r>
              <w:rPr>
                <w:rFonts w:hint="eastAsia"/>
                <w:sz w:val="24"/>
                <w:szCs w:val="24"/>
              </w:rPr>
              <w:t>海洋网</w:t>
            </w:r>
            <w:proofErr w:type="gramEnd"/>
            <w:r>
              <w:rPr>
                <w:rFonts w:hint="eastAsia"/>
                <w:sz w:val="24"/>
                <w:szCs w:val="24"/>
              </w:rPr>
              <w:t>联船务</w:t>
            </w:r>
            <w:proofErr w:type="gramStart"/>
            <w:r>
              <w:rPr>
                <w:rFonts w:hint="eastAsia"/>
                <w:sz w:val="24"/>
                <w:szCs w:val="24"/>
              </w:rPr>
              <w:t>及塞斯潘</w:t>
            </w:r>
            <w:proofErr w:type="gramEnd"/>
            <w:r>
              <w:rPr>
                <w:rFonts w:hint="eastAsia"/>
                <w:sz w:val="24"/>
                <w:szCs w:val="24"/>
              </w:rPr>
              <w:t>将各自持有目标公司</w:t>
            </w:r>
            <w:r>
              <w:rPr>
                <w:rFonts w:hint="eastAsia"/>
                <w:sz w:val="24"/>
                <w:szCs w:val="24"/>
              </w:rPr>
              <w:t>50%</w:t>
            </w:r>
            <w:r>
              <w:rPr>
                <w:rFonts w:hint="eastAsia"/>
                <w:sz w:val="24"/>
                <w:szCs w:val="24"/>
              </w:rPr>
              <w:t>的股份，并共同控制目标公司。</w:t>
            </w:r>
          </w:p>
        </w:tc>
      </w:tr>
      <w:tr w:rsidR="0032773B" w14:paraId="0BA0F325" w14:textId="77777777">
        <w:trPr>
          <w:trHeight w:val="935"/>
        </w:trPr>
        <w:tc>
          <w:tcPr>
            <w:tcW w:w="1696" w:type="dxa"/>
            <w:vMerge w:val="restart"/>
            <w:shd w:val="clear" w:color="auto" w:fill="D9D9D9"/>
          </w:tcPr>
          <w:p w14:paraId="02FE2579" w14:textId="77777777" w:rsidR="0032773B" w:rsidRDefault="00000000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418" w:type="dxa"/>
            <w:vAlign w:val="center"/>
          </w:tcPr>
          <w:p w14:paraId="20406A8A" w14:textId="77777777" w:rsidR="0032773B" w:rsidRDefault="0032773B">
            <w:pPr>
              <w:pStyle w:val="afa"/>
              <w:widowControl/>
              <w:adjustRightInd w:val="0"/>
              <w:snapToGrid w:val="0"/>
              <w:ind w:firstLineChars="0" w:firstLine="0"/>
              <w:rPr>
                <w:color w:val="000000" w:themeColor="text1"/>
                <w:sz w:val="24"/>
                <w:szCs w:val="24"/>
              </w:rPr>
            </w:pPr>
          </w:p>
          <w:p w14:paraId="583CCD90" w14:textId="77777777" w:rsidR="0032773B" w:rsidRDefault="00000000">
            <w:pPr>
              <w:pStyle w:val="afa"/>
              <w:numPr>
                <w:ilvl w:val="0"/>
                <w:numId w:val="2"/>
              </w:numPr>
              <w:snapToGrid w:val="0"/>
              <w:ind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塞斯</w:t>
            </w:r>
            <w:proofErr w:type="gramStart"/>
            <w:r>
              <w:rPr>
                <w:rFonts w:hint="eastAsia"/>
                <w:kern w:val="0"/>
                <w:sz w:val="24"/>
                <w:szCs w:val="24"/>
              </w:rPr>
              <w:t>潘</w:t>
            </w:r>
            <w:proofErr w:type="gramEnd"/>
          </w:p>
        </w:tc>
        <w:tc>
          <w:tcPr>
            <w:tcW w:w="5103" w:type="dxa"/>
          </w:tcPr>
          <w:p w14:paraId="35530F09" w14:textId="77777777" w:rsidR="0032773B" w:rsidRDefault="0032773B">
            <w:pPr>
              <w:widowControl/>
              <w:adjustRightInd w:val="0"/>
              <w:snapToGrid w:val="0"/>
              <w:rPr>
                <w:color w:val="000000" w:themeColor="text1"/>
                <w:sz w:val="24"/>
                <w:szCs w:val="24"/>
              </w:rPr>
            </w:pPr>
          </w:p>
          <w:p w14:paraId="71E205F7" w14:textId="77777777" w:rsidR="0032773B" w:rsidRDefault="00000000">
            <w:pPr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塞斯潘于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005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日在马绍尔群岛共和国成立。塞斯</w:t>
            </w:r>
            <w:proofErr w:type="gramStart"/>
            <w:r>
              <w:rPr>
                <w:rFonts w:hint="eastAsia"/>
                <w:sz w:val="24"/>
                <w:szCs w:val="24"/>
              </w:rPr>
              <w:t>潘</w:t>
            </w:r>
            <w:proofErr w:type="gramEnd"/>
            <w:r>
              <w:rPr>
                <w:rFonts w:hint="eastAsia"/>
                <w:sz w:val="24"/>
                <w:szCs w:val="24"/>
              </w:rPr>
              <w:t>专门从事船舶租赁服务，并在全球范围内提供这些服务。</w:t>
            </w:r>
          </w:p>
          <w:p w14:paraId="5EA473FC" w14:textId="77777777" w:rsidR="0032773B" w:rsidRDefault="0032773B">
            <w:pPr>
              <w:snapToGrid w:val="0"/>
              <w:rPr>
                <w:sz w:val="24"/>
                <w:szCs w:val="24"/>
              </w:rPr>
            </w:pPr>
          </w:p>
          <w:p w14:paraId="1B7A681E" w14:textId="007C90AF" w:rsidR="0032773B" w:rsidRPr="00302157" w:rsidRDefault="00000000">
            <w:pPr>
              <w:snapToGrid w:val="0"/>
              <w:rPr>
                <w:rFonts w:ascii="Times New Roman Regular" w:hAnsi="Times New Roman Regular" w:cs="Times New Roman Regular" w:hint="eastAsia"/>
                <w:bCs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塞斯</w:t>
            </w:r>
            <w:proofErr w:type="gramStart"/>
            <w:r>
              <w:rPr>
                <w:rFonts w:hint="eastAsia"/>
                <w:sz w:val="24"/>
                <w:szCs w:val="24"/>
              </w:rPr>
              <w:t>潘</w:t>
            </w:r>
            <w:proofErr w:type="gramEnd"/>
            <w:r>
              <w:rPr>
                <w:rFonts w:hint="eastAsia"/>
                <w:sz w:val="24"/>
                <w:szCs w:val="24"/>
              </w:rPr>
              <w:t>的最终控制人是费尔法克斯金融公司（</w:t>
            </w:r>
            <w:r>
              <w:rPr>
                <w:rFonts w:hint="eastAsia"/>
                <w:b/>
                <w:bCs/>
                <w:sz w:val="24"/>
                <w:szCs w:val="24"/>
              </w:rPr>
              <w:t>“费尔法克斯”</w:t>
            </w:r>
            <w:r>
              <w:rPr>
                <w:rFonts w:hint="eastAsia"/>
                <w:sz w:val="24"/>
                <w:szCs w:val="24"/>
              </w:rPr>
              <w:t>）。费尔法克斯通过其子公司在不动产和意外保险，以及再保险和相关投资管理领域从事业务。</w:t>
            </w:r>
          </w:p>
        </w:tc>
      </w:tr>
      <w:tr w:rsidR="0032773B" w14:paraId="362F1F38" w14:textId="77777777">
        <w:trPr>
          <w:trHeight w:val="1970"/>
        </w:trPr>
        <w:tc>
          <w:tcPr>
            <w:tcW w:w="1696" w:type="dxa"/>
            <w:vMerge/>
            <w:shd w:val="clear" w:color="auto" w:fill="D9D9D9"/>
          </w:tcPr>
          <w:p w14:paraId="2BDC12AD" w14:textId="77777777" w:rsidR="0032773B" w:rsidRDefault="0032773B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10857ED" w14:textId="77777777" w:rsidR="0032773B" w:rsidRDefault="00000000">
            <w:pPr>
              <w:pStyle w:val="afa"/>
              <w:widowControl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海洋网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>联船务</w:t>
            </w:r>
          </w:p>
        </w:tc>
        <w:tc>
          <w:tcPr>
            <w:tcW w:w="5103" w:type="dxa"/>
            <w:shd w:val="clear" w:color="auto" w:fill="auto"/>
          </w:tcPr>
          <w:p w14:paraId="724DDCAF" w14:textId="77777777" w:rsidR="0032773B" w:rsidRDefault="00000000">
            <w:pPr>
              <w:widowControl/>
              <w:adjustRightInd w:val="0"/>
              <w:snapToGrid w:val="0"/>
              <w:rPr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hint="eastAsia"/>
                <w:color w:val="000000" w:themeColor="text1"/>
                <w:sz w:val="24"/>
                <w:szCs w:val="24"/>
              </w:rPr>
              <w:t>海洋网</w:t>
            </w:r>
            <w:proofErr w:type="gramEnd"/>
            <w:r>
              <w:rPr>
                <w:rFonts w:hint="eastAsia"/>
                <w:color w:val="000000" w:themeColor="text1"/>
                <w:sz w:val="24"/>
                <w:szCs w:val="24"/>
              </w:rPr>
              <w:t>联船务</w:t>
            </w:r>
            <w:r>
              <w:rPr>
                <w:color w:val="000000" w:themeColor="text1"/>
                <w:sz w:val="24"/>
                <w:szCs w:val="24"/>
              </w:rPr>
              <w:t>于</w:t>
            </w:r>
            <w:r>
              <w:rPr>
                <w:color w:val="000000" w:themeColor="text1"/>
                <w:sz w:val="24"/>
                <w:szCs w:val="24"/>
              </w:rPr>
              <w:t>2017</w:t>
            </w:r>
            <w:r>
              <w:rPr>
                <w:color w:val="000000" w:themeColor="text1"/>
                <w:sz w:val="24"/>
                <w:szCs w:val="24"/>
              </w:rPr>
              <w:t>年</w:t>
            </w:r>
            <w:r>
              <w:rPr>
                <w:color w:val="000000" w:themeColor="text1"/>
                <w:sz w:val="24"/>
                <w:szCs w:val="24"/>
              </w:rPr>
              <w:t>7</w:t>
            </w:r>
            <w:r>
              <w:rPr>
                <w:color w:val="000000" w:themeColor="text1"/>
                <w:sz w:val="24"/>
                <w:szCs w:val="24"/>
              </w:rPr>
              <w:t>月</w:t>
            </w:r>
            <w:r>
              <w:rPr>
                <w:color w:val="000000" w:themeColor="text1"/>
                <w:sz w:val="24"/>
                <w:szCs w:val="24"/>
              </w:rPr>
              <w:t>7</w:t>
            </w:r>
            <w:r>
              <w:rPr>
                <w:color w:val="000000" w:themeColor="text1"/>
                <w:sz w:val="24"/>
                <w:szCs w:val="24"/>
              </w:rPr>
              <w:t>日在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新加坡</w:t>
            </w:r>
            <w:r>
              <w:rPr>
                <w:color w:val="000000" w:themeColor="text1"/>
                <w:sz w:val="24"/>
                <w:szCs w:val="24"/>
              </w:rPr>
              <w:t>成立。</w:t>
            </w:r>
            <w:proofErr w:type="gramStart"/>
            <w:r>
              <w:rPr>
                <w:rFonts w:hint="eastAsia"/>
                <w:color w:val="000000" w:themeColor="text1"/>
                <w:sz w:val="24"/>
                <w:szCs w:val="24"/>
              </w:rPr>
              <w:t>海洋网</w:t>
            </w:r>
            <w:proofErr w:type="gramEnd"/>
            <w:r>
              <w:rPr>
                <w:rFonts w:hint="eastAsia"/>
                <w:color w:val="000000" w:themeColor="text1"/>
                <w:sz w:val="24"/>
                <w:szCs w:val="24"/>
              </w:rPr>
              <w:t>联船务</w:t>
            </w:r>
            <w:r>
              <w:rPr>
                <w:color w:val="000000" w:themeColor="text1"/>
                <w:sz w:val="24"/>
                <w:szCs w:val="24"/>
              </w:rPr>
              <w:t>主要在全球范围内从事集装箱运输、码头运营和仓储服务业务。</w:t>
            </w:r>
          </w:p>
          <w:p w14:paraId="1C0AE8E5" w14:textId="77777777" w:rsidR="0032773B" w:rsidRDefault="0032773B">
            <w:pPr>
              <w:widowControl/>
              <w:adjustRightInd w:val="0"/>
              <w:snapToGrid w:val="0"/>
              <w:rPr>
                <w:color w:val="000000" w:themeColor="text1"/>
                <w:sz w:val="24"/>
                <w:szCs w:val="24"/>
              </w:rPr>
            </w:pPr>
          </w:p>
          <w:p w14:paraId="1682CB96" w14:textId="77777777" w:rsidR="0032773B" w:rsidRDefault="00000000">
            <w:pPr>
              <w:widowControl/>
              <w:adjustRightInd w:val="0"/>
              <w:snapToGrid w:val="0"/>
              <w:rPr>
                <w:rFonts w:eastAsia="楷体_GB2312"/>
                <w:kern w:val="0"/>
                <w:sz w:val="24"/>
                <w:szCs w:val="24"/>
                <w:lang w:val="en-GB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海洋网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>联船务的最终控制人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是</w:t>
            </w:r>
            <w:r>
              <w:rPr>
                <w:color w:val="000000" w:themeColor="text1"/>
                <w:sz w:val="24"/>
                <w:szCs w:val="24"/>
              </w:rPr>
              <w:t>株式会社商船三井（</w:t>
            </w:r>
            <w:r>
              <w:rPr>
                <w:color w:val="000000" w:themeColor="text1"/>
                <w:sz w:val="24"/>
                <w:szCs w:val="24"/>
              </w:rPr>
              <w:t>“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商船三井</w:t>
            </w:r>
            <w:r>
              <w:rPr>
                <w:color w:val="000000" w:themeColor="text1"/>
                <w:sz w:val="24"/>
                <w:szCs w:val="24"/>
              </w:rPr>
              <w:t>”</w:t>
            </w:r>
            <w:r>
              <w:rPr>
                <w:color w:val="000000" w:themeColor="text1"/>
                <w:sz w:val="24"/>
                <w:szCs w:val="24"/>
              </w:rPr>
              <w:t>）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、川崎汽船株式会社（“</w:t>
            </w:r>
            <w:r>
              <w:rPr>
                <w:rFonts w:hint="eastAsia"/>
                <w:b/>
                <w:color w:val="000000" w:themeColor="text1"/>
                <w:sz w:val="24"/>
                <w:szCs w:val="24"/>
              </w:rPr>
              <w:t>川崎汽船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”）和</w:t>
            </w:r>
            <w:r>
              <w:rPr>
                <w:color w:val="000000" w:themeColor="text1"/>
                <w:sz w:val="24"/>
                <w:szCs w:val="24"/>
              </w:rPr>
              <w:t>日本邮船株式会社（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“</w:t>
            </w:r>
            <w:r>
              <w:rPr>
                <w:b/>
                <w:color w:val="000000" w:themeColor="text1"/>
                <w:sz w:val="24"/>
                <w:szCs w:val="24"/>
              </w:rPr>
              <w:t>日本邮船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”</w:t>
            </w:r>
            <w:r>
              <w:rPr>
                <w:color w:val="000000" w:themeColor="text1"/>
                <w:sz w:val="24"/>
                <w:szCs w:val="24"/>
              </w:rPr>
              <w:t>）。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商船三井是一家全球性航运公司，在包括铁矿石、煤炭、木片等干散货运输船、原油运输船、液化天然气运输船、汽车运载船等在内的广泛业务领域中满足其众多客户的不同需求。川崎汽船经营的业务范围包括海运、陆运、空运、港口运输等。日本邮船从事的业务包括班轮贸易、航空货运、物流业务、散货船运业务、房地产业</w:t>
            </w:r>
            <w:proofErr w:type="gramStart"/>
            <w:r>
              <w:rPr>
                <w:rFonts w:hint="eastAsia"/>
                <w:color w:val="000000" w:themeColor="text1"/>
                <w:sz w:val="24"/>
                <w:szCs w:val="24"/>
              </w:rPr>
              <w:t>务</w:t>
            </w:r>
            <w:proofErr w:type="gramEnd"/>
            <w:r>
              <w:rPr>
                <w:rFonts w:hint="eastAsia"/>
                <w:color w:val="000000" w:themeColor="text1"/>
                <w:sz w:val="24"/>
                <w:szCs w:val="24"/>
              </w:rPr>
              <w:t>以及其他相关服务业务。</w:t>
            </w:r>
          </w:p>
        </w:tc>
      </w:tr>
      <w:tr w:rsidR="0032773B" w14:paraId="470D5A17" w14:textId="77777777">
        <w:tc>
          <w:tcPr>
            <w:tcW w:w="1696" w:type="dxa"/>
            <w:vMerge w:val="restart"/>
            <w:shd w:val="clear" w:color="auto" w:fill="D9D9D9"/>
          </w:tcPr>
          <w:p w14:paraId="26009C39" w14:textId="77777777" w:rsidR="0032773B" w:rsidRDefault="00000000">
            <w:pPr>
              <w:snapToGrid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21" w:type="dxa"/>
            <w:gridSpan w:val="2"/>
          </w:tcPr>
          <w:p w14:paraId="0075ECE2" w14:textId="77777777" w:rsidR="0032773B" w:rsidRDefault="00000000">
            <w:pPr>
              <w:tabs>
                <w:tab w:val="left" w:pos="269"/>
              </w:tabs>
              <w:snapToGrid w:val="0"/>
              <w:rPr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  <w:lang w:val="en-GB"/>
              </w:rPr>
              <w:sym w:font="Wingdings" w:char="F0A8"/>
            </w:r>
            <w:r>
              <w:rPr>
                <w:sz w:val="24"/>
                <w:szCs w:val="24"/>
              </w:rPr>
              <w:tab/>
              <w:t>1</w:t>
            </w:r>
            <w:r>
              <w:rPr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sz w:val="24"/>
                <w:szCs w:val="24"/>
              </w:rPr>
              <w:t>15%</w:t>
            </w:r>
            <w:r>
              <w:rPr>
                <w:sz w:val="24"/>
                <w:szCs w:val="24"/>
              </w:rPr>
              <w:t>。</w:t>
            </w:r>
          </w:p>
        </w:tc>
      </w:tr>
      <w:tr w:rsidR="0032773B" w14:paraId="27877D91" w14:textId="77777777">
        <w:tc>
          <w:tcPr>
            <w:tcW w:w="1696" w:type="dxa"/>
            <w:vMerge/>
            <w:shd w:val="clear" w:color="auto" w:fill="D9D9D9"/>
          </w:tcPr>
          <w:p w14:paraId="664602D7" w14:textId="77777777" w:rsidR="0032773B" w:rsidRDefault="0032773B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26E7D949" w14:textId="77777777" w:rsidR="0032773B" w:rsidRDefault="00000000">
            <w:pPr>
              <w:tabs>
                <w:tab w:val="left" w:pos="269"/>
              </w:tabs>
              <w:snapToGrid w:val="0"/>
              <w:rPr>
                <w:sz w:val="24"/>
                <w:szCs w:val="24"/>
              </w:rPr>
            </w:pPr>
            <w:r>
              <w:rPr>
                <w:rFonts w:eastAsia="黑体"/>
                <w:color w:val="000000"/>
                <w:sz w:val="24"/>
                <w:szCs w:val="24"/>
              </w:rPr>
              <w:sym w:font="Wingdings" w:char="00A8"/>
            </w:r>
            <w:r>
              <w:rPr>
                <w:sz w:val="24"/>
                <w:szCs w:val="24"/>
              </w:rPr>
              <w:tab/>
              <w:t>2</w:t>
            </w:r>
            <w:r>
              <w:rPr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sz w:val="24"/>
                <w:szCs w:val="24"/>
              </w:rPr>
              <w:t>25%</w:t>
            </w:r>
            <w:r>
              <w:rPr>
                <w:sz w:val="24"/>
                <w:szCs w:val="24"/>
              </w:rPr>
              <w:t>。</w:t>
            </w:r>
          </w:p>
        </w:tc>
      </w:tr>
      <w:tr w:rsidR="0032773B" w14:paraId="69B5ECF2" w14:textId="77777777">
        <w:tc>
          <w:tcPr>
            <w:tcW w:w="1696" w:type="dxa"/>
            <w:vMerge/>
            <w:shd w:val="clear" w:color="auto" w:fill="D9D9D9"/>
          </w:tcPr>
          <w:p w14:paraId="13E8F86C" w14:textId="77777777" w:rsidR="0032773B" w:rsidRDefault="0032773B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6B8F0B6B" w14:textId="77777777" w:rsidR="0032773B" w:rsidRDefault="00000000">
            <w:pPr>
              <w:tabs>
                <w:tab w:val="left" w:pos="269"/>
              </w:tabs>
              <w:snapToGrid w:val="0"/>
              <w:rPr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  <w:lang w:val="en-GB"/>
              </w:rPr>
              <w:sym w:font="Wingdings" w:char="F0A8"/>
            </w:r>
            <w:r>
              <w:rPr>
                <w:sz w:val="24"/>
                <w:szCs w:val="24"/>
              </w:rPr>
              <w:tab/>
              <w:t>3</w:t>
            </w:r>
            <w:r>
              <w:rPr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sz w:val="24"/>
                <w:szCs w:val="24"/>
              </w:rPr>
              <w:t>25%</w:t>
            </w:r>
            <w:r>
              <w:rPr>
                <w:sz w:val="24"/>
                <w:szCs w:val="24"/>
              </w:rPr>
              <w:t>。</w:t>
            </w:r>
          </w:p>
        </w:tc>
      </w:tr>
      <w:tr w:rsidR="0032773B" w14:paraId="6D103C76" w14:textId="77777777">
        <w:tc>
          <w:tcPr>
            <w:tcW w:w="1696" w:type="dxa"/>
            <w:vMerge/>
            <w:shd w:val="clear" w:color="auto" w:fill="D9D9D9"/>
          </w:tcPr>
          <w:p w14:paraId="03500178" w14:textId="77777777" w:rsidR="0032773B" w:rsidRDefault="0032773B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2F550E3E" w14:textId="77777777" w:rsidR="0032773B" w:rsidRDefault="00000000">
            <w:pPr>
              <w:tabs>
                <w:tab w:val="left" w:pos="269"/>
              </w:tabs>
              <w:snapToGrid w:val="0"/>
              <w:rPr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  <w:lang w:val="en-GB"/>
              </w:rPr>
              <w:sym w:font="Wingdings" w:char="F0A8"/>
            </w:r>
            <w:r>
              <w:rPr>
                <w:sz w:val="24"/>
                <w:szCs w:val="24"/>
              </w:rPr>
              <w:tab/>
            </w:r>
            <w:r>
              <w:rPr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>、参与集中的经营者在中国境外设立合营企业，合营企</w:t>
            </w:r>
            <w:r>
              <w:rPr>
                <w:bCs/>
                <w:sz w:val="24"/>
                <w:szCs w:val="24"/>
              </w:rPr>
              <w:lastRenderedPageBreak/>
              <w:t>业不在中国境内从事经济活动。</w:t>
            </w:r>
          </w:p>
        </w:tc>
      </w:tr>
      <w:tr w:rsidR="0032773B" w14:paraId="368AA966" w14:textId="77777777">
        <w:tc>
          <w:tcPr>
            <w:tcW w:w="1696" w:type="dxa"/>
            <w:vMerge/>
            <w:shd w:val="clear" w:color="auto" w:fill="D9D9D9"/>
          </w:tcPr>
          <w:p w14:paraId="22EC66D7" w14:textId="77777777" w:rsidR="0032773B" w:rsidRDefault="0032773B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62321634" w14:textId="77777777" w:rsidR="0032773B" w:rsidRDefault="00000000">
            <w:pPr>
              <w:tabs>
                <w:tab w:val="left" w:pos="269"/>
              </w:tabs>
              <w:snapToGrid w:val="0"/>
              <w:rPr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  <w:lang w:val="en-GB"/>
              </w:rPr>
              <w:sym w:font="Wingdings" w:char="00FE"/>
            </w:r>
            <w:r>
              <w:rPr>
                <w:sz w:val="24"/>
                <w:szCs w:val="24"/>
              </w:rPr>
              <w:tab/>
              <w:t>5</w:t>
            </w:r>
            <w:r>
              <w:rPr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32773B" w14:paraId="3FAD634D" w14:textId="77777777">
        <w:tc>
          <w:tcPr>
            <w:tcW w:w="1696" w:type="dxa"/>
            <w:vMerge/>
            <w:shd w:val="clear" w:color="auto" w:fill="D9D9D9"/>
          </w:tcPr>
          <w:p w14:paraId="0091861A" w14:textId="77777777" w:rsidR="0032773B" w:rsidRDefault="0032773B">
            <w:pPr>
              <w:snapToGrid w:val="0"/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69D230F7" w14:textId="77777777" w:rsidR="0032773B" w:rsidRDefault="00000000">
            <w:pPr>
              <w:tabs>
                <w:tab w:val="left" w:pos="269"/>
              </w:tabs>
              <w:snapToGrid w:val="0"/>
              <w:rPr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  <w:lang w:val="en-GB"/>
              </w:rPr>
              <w:sym w:font="Wingdings" w:char="F0A8"/>
            </w:r>
            <w:r>
              <w:rPr>
                <w:sz w:val="24"/>
                <w:szCs w:val="24"/>
              </w:rPr>
              <w:tab/>
              <w:t>6</w:t>
            </w:r>
            <w:r>
              <w:rPr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2773B" w14:paraId="712B11C4" w14:textId="77777777">
        <w:trPr>
          <w:trHeight w:val="542"/>
        </w:trPr>
        <w:tc>
          <w:tcPr>
            <w:tcW w:w="1696" w:type="dxa"/>
            <w:shd w:val="clear" w:color="auto" w:fill="D9D9D9"/>
          </w:tcPr>
          <w:p w14:paraId="79C751AB" w14:textId="77777777" w:rsidR="0032773B" w:rsidRDefault="00000000">
            <w:pPr>
              <w:snapToGri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21" w:type="dxa"/>
            <w:gridSpan w:val="2"/>
          </w:tcPr>
          <w:p w14:paraId="38E62BCC" w14:textId="21F649DE" w:rsidR="0032773B" w:rsidRPr="00302157" w:rsidRDefault="00000000" w:rsidP="00302157">
            <w:pPr>
              <w:snapToGrid w:val="0"/>
              <w:rPr>
                <w:rFonts w:eastAsia="宋体" w:hint="eastAsia"/>
                <w:bCs/>
                <w:sz w:val="24"/>
                <w:szCs w:val="24"/>
              </w:rPr>
            </w:pPr>
            <w:r>
              <w:rPr>
                <w:rFonts w:eastAsia="宋体" w:hint="eastAsia"/>
                <w:bCs/>
                <w:sz w:val="24"/>
                <w:szCs w:val="24"/>
              </w:rPr>
              <w:t>不适用</w:t>
            </w:r>
          </w:p>
        </w:tc>
      </w:tr>
    </w:tbl>
    <w:p w14:paraId="37F1929C" w14:textId="77777777" w:rsidR="0032773B" w:rsidRDefault="0032773B">
      <w:pPr>
        <w:snapToGrid w:val="0"/>
        <w:spacing w:afterLines="50" w:after="156"/>
        <w:rPr>
          <w:sz w:val="24"/>
          <w:szCs w:val="24"/>
        </w:rPr>
      </w:pPr>
    </w:p>
    <w:sectPr w:rsidR="0032773B">
      <w:headerReference w:type="default" r:id="rId7"/>
      <w:footerReference w:type="even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56ABBA" w14:textId="77777777" w:rsidR="00103932" w:rsidRDefault="00103932">
      <w:r>
        <w:separator/>
      </w:r>
    </w:p>
  </w:endnote>
  <w:endnote w:type="continuationSeparator" w:id="0">
    <w:p w14:paraId="5F9CACC8" w14:textId="77777777" w:rsidR="00103932" w:rsidRDefault="00103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Italic">
    <w:panose1 w:val="0202050305040509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楷体_GB2312">
    <w:altName w:val="汉仪楷体简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4F7730" w14:textId="77777777" w:rsidR="0032773B" w:rsidRDefault="00000000">
    <w:pPr>
      <w:pStyle w:val="DocId"/>
    </w:pPr>
    <w:r>
      <w:t>[BRUSSELS 621754_4]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121A6" w14:textId="77777777" w:rsidR="0032773B" w:rsidRDefault="00000000">
    <w:pPr>
      <w:pStyle w:val="DocId"/>
    </w:pPr>
    <w:r>
      <w:t>[BRUSSELS 621754_4]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E131BD" w14:textId="77777777" w:rsidR="00103932" w:rsidRDefault="00103932">
      <w:r>
        <w:separator/>
      </w:r>
    </w:p>
  </w:footnote>
  <w:footnote w:type="continuationSeparator" w:id="0">
    <w:p w14:paraId="1CDAE44F" w14:textId="77777777" w:rsidR="00103932" w:rsidRDefault="00103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FD0EE" w14:textId="77777777" w:rsidR="0032773B" w:rsidRDefault="0032773B">
    <w:pPr>
      <w:pStyle w:val="af"/>
      <w:pBdr>
        <w:bottom w:val="single" w:sz="6" w:space="0" w:color="auto"/>
      </w:pBdr>
      <w:wordWrap w:val="0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A4B6A"/>
    <w:multiLevelType w:val="multilevel"/>
    <w:tmpl w:val="433A4B6A"/>
    <w:lvl w:ilvl="0">
      <w:start w:val="1"/>
      <w:numFmt w:val="decimal"/>
      <w:pStyle w:val="ShortOutline1"/>
      <w:lvlText w:val="%1."/>
      <w:lvlJc w:val="left"/>
      <w:pPr>
        <w:ind w:left="720" w:hanging="720"/>
      </w:pPr>
      <w:rPr>
        <w:rFonts w:hint="default"/>
        <w:color w:val="000000"/>
      </w:rPr>
    </w:lvl>
    <w:lvl w:ilvl="1">
      <w:start w:val="1"/>
      <w:numFmt w:val="lowerLetter"/>
      <w:pStyle w:val="ShortOutline2"/>
      <w:lvlText w:val="(%2)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lowerRoman"/>
      <w:pStyle w:val="ShortOutline3"/>
      <w:lvlText w:val="(%3)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pStyle w:val="ShortOutline4"/>
      <w:lvlText w:val="(%4)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lowerLetter"/>
      <w:pStyle w:val="ShortOutline5"/>
      <w:lvlText w:val="(%5)"/>
      <w:lvlJc w:val="left"/>
      <w:pPr>
        <w:ind w:left="3600" w:hanging="72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left" w:pos="5040"/>
        </w:tabs>
        <w:ind w:left="4320" w:hanging="72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5760"/>
        </w:tabs>
        <w:ind w:left="5040" w:hanging="72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6480"/>
        </w:tabs>
        <w:ind w:left="5760" w:hanging="72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7200"/>
        </w:tabs>
        <w:ind w:left="6480" w:hanging="720"/>
      </w:pPr>
      <w:rPr>
        <w:rFonts w:hint="default"/>
      </w:rPr>
    </w:lvl>
  </w:abstractNum>
  <w:abstractNum w:abstractNumId="1" w15:restartNumberingAfterBreak="0">
    <w:nsid w:val="6C25237E"/>
    <w:multiLevelType w:val="multilevel"/>
    <w:tmpl w:val="6C2523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144734386">
    <w:abstractNumId w:val="0"/>
  </w:num>
  <w:num w:numId="2" w16cid:durableId="121457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hideSpellingErrors/>
  <w:hideGrammaticalErrors/>
  <w:proofState w:spelling="clean" w:grammar="clean"/>
  <w:styleLockQFSet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eckedForWebBugs" w:val="True"/>
    <w:docVar w:name="commondata" w:val="eyJoZGlkIjoiNWUzYzcxMTc1MjU4MTQzNWM4OTE0MmQ1NGJmNTFiOWYifQ=="/>
    <w:docVar w:name="KEOutsideDoc" w:val="True"/>
    <w:docVar w:name="trailer" w:val="none"/>
    <w:docVar w:name="TrailerFullName" w:val="C:\Users\JCruise\AppData\Roaming\iManage\Work\Recent\072692-0001 (Ocean Network Express_ Project Atlas)\Anchor - China_-_Publicity_Form-20221209(137921514.1).docx"/>
    <w:docVar w:name="TrlrDateFlag" w:val="0"/>
    <w:docVar w:name="TrlrDocTitleFlag" w:val="1"/>
    <w:docVar w:name="TrlrDOSFlag" w:val="0"/>
    <w:docVar w:name="TrlrDOSPathFlag" w:val="0"/>
    <w:docVar w:name="TrlrDraftFlag" w:val="0"/>
    <w:docVar w:name="TrlrMatter" w:val="072692-0001"/>
    <w:docVar w:name="TrlrMatterFlag" w:val="0"/>
    <w:docVar w:name="TrlrRedlineFlag" w:val="0"/>
    <w:docVar w:name="TrlrTimeFlag" w:val="1"/>
    <w:docVar w:name="TrlrTypeFlag" w:val="2"/>
  </w:docVars>
  <w:rsids>
    <w:rsidRoot w:val="00D6778B"/>
    <w:rsid w:val="BE3F1D8F"/>
    <w:rsid w:val="DFEF00B5"/>
    <w:rsid w:val="E7EFA68A"/>
    <w:rsid w:val="EDF6C61C"/>
    <w:rsid w:val="FF5EFBCD"/>
    <w:rsid w:val="0000664F"/>
    <w:rsid w:val="00006FA8"/>
    <w:rsid w:val="00007061"/>
    <w:rsid w:val="0001661E"/>
    <w:rsid w:val="0002176F"/>
    <w:rsid w:val="00027452"/>
    <w:rsid w:val="00031AD2"/>
    <w:rsid w:val="0003348A"/>
    <w:rsid w:val="00033705"/>
    <w:rsid w:val="000352B4"/>
    <w:rsid w:val="00035415"/>
    <w:rsid w:val="0003662F"/>
    <w:rsid w:val="00040F7C"/>
    <w:rsid w:val="00045438"/>
    <w:rsid w:val="0005462A"/>
    <w:rsid w:val="00054F5E"/>
    <w:rsid w:val="00065F6D"/>
    <w:rsid w:val="0007081E"/>
    <w:rsid w:val="000736DA"/>
    <w:rsid w:val="00075F4A"/>
    <w:rsid w:val="00076269"/>
    <w:rsid w:val="0008075E"/>
    <w:rsid w:val="000A2524"/>
    <w:rsid w:val="000B0F04"/>
    <w:rsid w:val="000B2B5A"/>
    <w:rsid w:val="000B397A"/>
    <w:rsid w:val="000B5361"/>
    <w:rsid w:val="000B56A5"/>
    <w:rsid w:val="000C3DDD"/>
    <w:rsid w:val="000C558B"/>
    <w:rsid w:val="000C6F71"/>
    <w:rsid w:val="000D629D"/>
    <w:rsid w:val="000D6FDA"/>
    <w:rsid w:val="000E0EB7"/>
    <w:rsid w:val="000F08C2"/>
    <w:rsid w:val="000F5443"/>
    <w:rsid w:val="000F54B0"/>
    <w:rsid w:val="000F5F81"/>
    <w:rsid w:val="000F7A1E"/>
    <w:rsid w:val="00103932"/>
    <w:rsid w:val="0010444C"/>
    <w:rsid w:val="001065A5"/>
    <w:rsid w:val="00113061"/>
    <w:rsid w:val="00116F89"/>
    <w:rsid w:val="00123BAA"/>
    <w:rsid w:val="001313ED"/>
    <w:rsid w:val="00134C12"/>
    <w:rsid w:val="001360E4"/>
    <w:rsid w:val="00136958"/>
    <w:rsid w:val="0014065D"/>
    <w:rsid w:val="00146BB1"/>
    <w:rsid w:val="001539E1"/>
    <w:rsid w:val="0016168E"/>
    <w:rsid w:val="0016524A"/>
    <w:rsid w:val="00166447"/>
    <w:rsid w:val="00172E35"/>
    <w:rsid w:val="00175F77"/>
    <w:rsid w:val="00190FE8"/>
    <w:rsid w:val="0019134E"/>
    <w:rsid w:val="00193719"/>
    <w:rsid w:val="001A160E"/>
    <w:rsid w:val="001A583B"/>
    <w:rsid w:val="001B2498"/>
    <w:rsid w:val="001B61B7"/>
    <w:rsid w:val="001C7EE1"/>
    <w:rsid w:val="001D3CF7"/>
    <w:rsid w:val="001D642B"/>
    <w:rsid w:val="001E1FA5"/>
    <w:rsid w:val="001E5A09"/>
    <w:rsid w:val="001E7969"/>
    <w:rsid w:val="001F7167"/>
    <w:rsid w:val="00201644"/>
    <w:rsid w:val="00202D30"/>
    <w:rsid w:val="0020694E"/>
    <w:rsid w:val="0022562B"/>
    <w:rsid w:val="002376FE"/>
    <w:rsid w:val="00237C97"/>
    <w:rsid w:val="0024374F"/>
    <w:rsid w:val="00243DBF"/>
    <w:rsid w:val="002454FD"/>
    <w:rsid w:val="00252E05"/>
    <w:rsid w:val="00253018"/>
    <w:rsid w:val="00256985"/>
    <w:rsid w:val="00260D95"/>
    <w:rsid w:val="00263084"/>
    <w:rsid w:val="00264D4C"/>
    <w:rsid w:val="0026779A"/>
    <w:rsid w:val="00273C83"/>
    <w:rsid w:val="00274F84"/>
    <w:rsid w:val="00280BEB"/>
    <w:rsid w:val="00293C4E"/>
    <w:rsid w:val="002A46D8"/>
    <w:rsid w:val="002B3DEA"/>
    <w:rsid w:val="002D7EDC"/>
    <w:rsid w:val="002E6412"/>
    <w:rsid w:val="002E7848"/>
    <w:rsid w:val="002E7D7B"/>
    <w:rsid w:val="002F30CC"/>
    <w:rsid w:val="00302157"/>
    <w:rsid w:val="00303A7E"/>
    <w:rsid w:val="003046BB"/>
    <w:rsid w:val="00307DBC"/>
    <w:rsid w:val="00313079"/>
    <w:rsid w:val="00315FD7"/>
    <w:rsid w:val="00316239"/>
    <w:rsid w:val="00322077"/>
    <w:rsid w:val="0032773B"/>
    <w:rsid w:val="00333829"/>
    <w:rsid w:val="00334E0E"/>
    <w:rsid w:val="00340AA4"/>
    <w:rsid w:val="00341335"/>
    <w:rsid w:val="00343E84"/>
    <w:rsid w:val="00345CD9"/>
    <w:rsid w:val="00363036"/>
    <w:rsid w:val="0036459D"/>
    <w:rsid w:val="0036692F"/>
    <w:rsid w:val="00372D4A"/>
    <w:rsid w:val="003767FB"/>
    <w:rsid w:val="00376BDB"/>
    <w:rsid w:val="00377A03"/>
    <w:rsid w:val="00383407"/>
    <w:rsid w:val="00383739"/>
    <w:rsid w:val="00383CA2"/>
    <w:rsid w:val="00391607"/>
    <w:rsid w:val="003A08F2"/>
    <w:rsid w:val="003B2B65"/>
    <w:rsid w:val="003C37CF"/>
    <w:rsid w:val="003D401C"/>
    <w:rsid w:val="003E1925"/>
    <w:rsid w:val="003F0D44"/>
    <w:rsid w:val="003F3687"/>
    <w:rsid w:val="00400A16"/>
    <w:rsid w:val="00404771"/>
    <w:rsid w:val="00406A61"/>
    <w:rsid w:val="0041322C"/>
    <w:rsid w:val="00417C26"/>
    <w:rsid w:val="00420CCF"/>
    <w:rsid w:val="00427493"/>
    <w:rsid w:val="00432128"/>
    <w:rsid w:val="00432DE4"/>
    <w:rsid w:val="00447839"/>
    <w:rsid w:val="00462954"/>
    <w:rsid w:val="004664FC"/>
    <w:rsid w:val="00477BD8"/>
    <w:rsid w:val="00480185"/>
    <w:rsid w:val="00482EF2"/>
    <w:rsid w:val="00484A33"/>
    <w:rsid w:val="004911D6"/>
    <w:rsid w:val="004935F2"/>
    <w:rsid w:val="00493B33"/>
    <w:rsid w:val="00494442"/>
    <w:rsid w:val="00496020"/>
    <w:rsid w:val="004A4D20"/>
    <w:rsid w:val="004A61BA"/>
    <w:rsid w:val="004A6BF8"/>
    <w:rsid w:val="004B109C"/>
    <w:rsid w:val="004C6F12"/>
    <w:rsid w:val="004E5A7E"/>
    <w:rsid w:val="004E5D73"/>
    <w:rsid w:val="004E6244"/>
    <w:rsid w:val="005059EC"/>
    <w:rsid w:val="00511338"/>
    <w:rsid w:val="00514940"/>
    <w:rsid w:val="00516C47"/>
    <w:rsid w:val="00526246"/>
    <w:rsid w:val="00541C4D"/>
    <w:rsid w:val="005427E4"/>
    <w:rsid w:val="00542FFB"/>
    <w:rsid w:val="005510E6"/>
    <w:rsid w:val="005512F7"/>
    <w:rsid w:val="0055627A"/>
    <w:rsid w:val="005622DD"/>
    <w:rsid w:val="00567E13"/>
    <w:rsid w:val="00574FDE"/>
    <w:rsid w:val="0058378C"/>
    <w:rsid w:val="005843DE"/>
    <w:rsid w:val="005A72A6"/>
    <w:rsid w:val="005A795B"/>
    <w:rsid w:val="005B09DC"/>
    <w:rsid w:val="005B51D4"/>
    <w:rsid w:val="005B5ACB"/>
    <w:rsid w:val="005C54E0"/>
    <w:rsid w:val="005C764B"/>
    <w:rsid w:val="005D0857"/>
    <w:rsid w:val="005D234D"/>
    <w:rsid w:val="005E0636"/>
    <w:rsid w:val="006024A8"/>
    <w:rsid w:val="00603699"/>
    <w:rsid w:val="00605C22"/>
    <w:rsid w:val="00613B34"/>
    <w:rsid w:val="0061504A"/>
    <w:rsid w:val="00632B1C"/>
    <w:rsid w:val="00643A9D"/>
    <w:rsid w:val="006522C2"/>
    <w:rsid w:val="006570D5"/>
    <w:rsid w:val="00657171"/>
    <w:rsid w:val="006646A3"/>
    <w:rsid w:val="00666F26"/>
    <w:rsid w:val="00673ED0"/>
    <w:rsid w:val="006822CC"/>
    <w:rsid w:val="00686416"/>
    <w:rsid w:val="00696858"/>
    <w:rsid w:val="006A6DE6"/>
    <w:rsid w:val="006C05C6"/>
    <w:rsid w:val="006C4813"/>
    <w:rsid w:val="006C4EE1"/>
    <w:rsid w:val="006C669D"/>
    <w:rsid w:val="006D47C3"/>
    <w:rsid w:val="006E62BA"/>
    <w:rsid w:val="006F5BDA"/>
    <w:rsid w:val="006F7968"/>
    <w:rsid w:val="0070257C"/>
    <w:rsid w:val="007058C8"/>
    <w:rsid w:val="00710ECA"/>
    <w:rsid w:val="00720A5B"/>
    <w:rsid w:val="007252B9"/>
    <w:rsid w:val="00725847"/>
    <w:rsid w:val="007314C8"/>
    <w:rsid w:val="00734AA4"/>
    <w:rsid w:val="00735ACE"/>
    <w:rsid w:val="0074536F"/>
    <w:rsid w:val="00746D18"/>
    <w:rsid w:val="00755D25"/>
    <w:rsid w:val="00760995"/>
    <w:rsid w:val="00760DC7"/>
    <w:rsid w:val="00762BDC"/>
    <w:rsid w:val="00766671"/>
    <w:rsid w:val="00766D72"/>
    <w:rsid w:val="00776AB4"/>
    <w:rsid w:val="0077797F"/>
    <w:rsid w:val="00783464"/>
    <w:rsid w:val="0078577D"/>
    <w:rsid w:val="00792186"/>
    <w:rsid w:val="007930C1"/>
    <w:rsid w:val="0079716C"/>
    <w:rsid w:val="007A12D9"/>
    <w:rsid w:val="007A14C3"/>
    <w:rsid w:val="007A4C50"/>
    <w:rsid w:val="007C161C"/>
    <w:rsid w:val="007C40DF"/>
    <w:rsid w:val="007D095C"/>
    <w:rsid w:val="007D4DC9"/>
    <w:rsid w:val="007D740B"/>
    <w:rsid w:val="007E4321"/>
    <w:rsid w:val="007E44E4"/>
    <w:rsid w:val="007E4AF3"/>
    <w:rsid w:val="007E4BB2"/>
    <w:rsid w:val="007E7AE3"/>
    <w:rsid w:val="008039A5"/>
    <w:rsid w:val="00806668"/>
    <w:rsid w:val="008068B9"/>
    <w:rsid w:val="00822654"/>
    <w:rsid w:val="00822840"/>
    <w:rsid w:val="0083410B"/>
    <w:rsid w:val="0084203B"/>
    <w:rsid w:val="008426B8"/>
    <w:rsid w:val="00843D54"/>
    <w:rsid w:val="0084644E"/>
    <w:rsid w:val="0085083A"/>
    <w:rsid w:val="008536CE"/>
    <w:rsid w:val="00863853"/>
    <w:rsid w:val="008676B9"/>
    <w:rsid w:val="008805C7"/>
    <w:rsid w:val="00886715"/>
    <w:rsid w:val="00893065"/>
    <w:rsid w:val="00896F4D"/>
    <w:rsid w:val="008A1842"/>
    <w:rsid w:val="008E2E40"/>
    <w:rsid w:val="008E4622"/>
    <w:rsid w:val="008E72E4"/>
    <w:rsid w:val="008F7425"/>
    <w:rsid w:val="009015F0"/>
    <w:rsid w:val="009022A3"/>
    <w:rsid w:val="0091347A"/>
    <w:rsid w:val="00915C67"/>
    <w:rsid w:val="0091662A"/>
    <w:rsid w:val="00917E78"/>
    <w:rsid w:val="00920035"/>
    <w:rsid w:val="009333A0"/>
    <w:rsid w:val="00943A7A"/>
    <w:rsid w:val="009565D1"/>
    <w:rsid w:val="009637D8"/>
    <w:rsid w:val="00966C1F"/>
    <w:rsid w:val="00971BB3"/>
    <w:rsid w:val="00981610"/>
    <w:rsid w:val="00984798"/>
    <w:rsid w:val="00994434"/>
    <w:rsid w:val="00995CD3"/>
    <w:rsid w:val="009974FC"/>
    <w:rsid w:val="009A587F"/>
    <w:rsid w:val="009A5900"/>
    <w:rsid w:val="009D1F68"/>
    <w:rsid w:val="009D46AD"/>
    <w:rsid w:val="00A0152E"/>
    <w:rsid w:val="00A02A51"/>
    <w:rsid w:val="00A12516"/>
    <w:rsid w:val="00A24132"/>
    <w:rsid w:val="00A27B67"/>
    <w:rsid w:val="00A32747"/>
    <w:rsid w:val="00A3378D"/>
    <w:rsid w:val="00A3788A"/>
    <w:rsid w:val="00A50875"/>
    <w:rsid w:val="00A51731"/>
    <w:rsid w:val="00A5421C"/>
    <w:rsid w:val="00A62E25"/>
    <w:rsid w:val="00A647A5"/>
    <w:rsid w:val="00A66FA6"/>
    <w:rsid w:val="00A81DBB"/>
    <w:rsid w:val="00A82893"/>
    <w:rsid w:val="00A96035"/>
    <w:rsid w:val="00AA13BC"/>
    <w:rsid w:val="00AA4EDD"/>
    <w:rsid w:val="00AC1A0A"/>
    <w:rsid w:val="00AC4072"/>
    <w:rsid w:val="00AD4F07"/>
    <w:rsid w:val="00AE2EB1"/>
    <w:rsid w:val="00AE5E58"/>
    <w:rsid w:val="00AE75B7"/>
    <w:rsid w:val="00AF095C"/>
    <w:rsid w:val="00AF16AC"/>
    <w:rsid w:val="00AF659E"/>
    <w:rsid w:val="00B05FED"/>
    <w:rsid w:val="00B06DF7"/>
    <w:rsid w:val="00B10EC0"/>
    <w:rsid w:val="00B115A9"/>
    <w:rsid w:val="00B138F0"/>
    <w:rsid w:val="00B27091"/>
    <w:rsid w:val="00B31EA7"/>
    <w:rsid w:val="00B32099"/>
    <w:rsid w:val="00B33031"/>
    <w:rsid w:val="00B36128"/>
    <w:rsid w:val="00B53B7B"/>
    <w:rsid w:val="00B60750"/>
    <w:rsid w:val="00B631A7"/>
    <w:rsid w:val="00B66DC3"/>
    <w:rsid w:val="00B906E6"/>
    <w:rsid w:val="00B929F7"/>
    <w:rsid w:val="00B93943"/>
    <w:rsid w:val="00B97B7C"/>
    <w:rsid w:val="00BA29DC"/>
    <w:rsid w:val="00BA54C0"/>
    <w:rsid w:val="00BA5E3A"/>
    <w:rsid w:val="00BA6B56"/>
    <w:rsid w:val="00BB1FE8"/>
    <w:rsid w:val="00BE14C3"/>
    <w:rsid w:val="00BE2B36"/>
    <w:rsid w:val="00BE37B4"/>
    <w:rsid w:val="00BF48D8"/>
    <w:rsid w:val="00BF6FB3"/>
    <w:rsid w:val="00C03D5E"/>
    <w:rsid w:val="00C155EF"/>
    <w:rsid w:val="00C1621F"/>
    <w:rsid w:val="00C20BCD"/>
    <w:rsid w:val="00C247FA"/>
    <w:rsid w:val="00C251B9"/>
    <w:rsid w:val="00C30B98"/>
    <w:rsid w:val="00C31EE9"/>
    <w:rsid w:val="00C3362C"/>
    <w:rsid w:val="00C35FB0"/>
    <w:rsid w:val="00C36F15"/>
    <w:rsid w:val="00C45530"/>
    <w:rsid w:val="00C50171"/>
    <w:rsid w:val="00C53C11"/>
    <w:rsid w:val="00C54BF8"/>
    <w:rsid w:val="00C61055"/>
    <w:rsid w:val="00C736D6"/>
    <w:rsid w:val="00C75354"/>
    <w:rsid w:val="00C77F78"/>
    <w:rsid w:val="00C82D5C"/>
    <w:rsid w:val="00C8424D"/>
    <w:rsid w:val="00C84C3E"/>
    <w:rsid w:val="00C96637"/>
    <w:rsid w:val="00C978AB"/>
    <w:rsid w:val="00C97975"/>
    <w:rsid w:val="00CA2B22"/>
    <w:rsid w:val="00CA3911"/>
    <w:rsid w:val="00CA57DB"/>
    <w:rsid w:val="00CB5541"/>
    <w:rsid w:val="00CB7C32"/>
    <w:rsid w:val="00CC0115"/>
    <w:rsid w:val="00CC7FCE"/>
    <w:rsid w:val="00CD003E"/>
    <w:rsid w:val="00CE6F79"/>
    <w:rsid w:val="00CE7401"/>
    <w:rsid w:val="00CE76B0"/>
    <w:rsid w:val="00CF0A01"/>
    <w:rsid w:val="00CF1CA0"/>
    <w:rsid w:val="00CF3EEB"/>
    <w:rsid w:val="00CF57D7"/>
    <w:rsid w:val="00D00240"/>
    <w:rsid w:val="00D224EA"/>
    <w:rsid w:val="00D2603F"/>
    <w:rsid w:val="00D4484D"/>
    <w:rsid w:val="00D44DFE"/>
    <w:rsid w:val="00D45AEE"/>
    <w:rsid w:val="00D51A37"/>
    <w:rsid w:val="00D54B1F"/>
    <w:rsid w:val="00D54FD1"/>
    <w:rsid w:val="00D6778B"/>
    <w:rsid w:val="00D67902"/>
    <w:rsid w:val="00D71205"/>
    <w:rsid w:val="00D71E5B"/>
    <w:rsid w:val="00D8089A"/>
    <w:rsid w:val="00D82DEE"/>
    <w:rsid w:val="00D83BB6"/>
    <w:rsid w:val="00D84B7C"/>
    <w:rsid w:val="00D90B1F"/>
    <w:rsid w:val="00D94857"/>
    <w:rsid w:val="00D94BB9"/>
    <w:rsid w:val="00D9743A"/>
    <w:rsid w:val="00DA19E5"/>
    <w:rsid w:val="00DB48F7"/>
    <w:rsid w:val="00DD0D07"/>
    <w:rsid w:val="00DD7311"/>
    <w:rsid w:val="00DD784D"/>
    <w:rsid w:val="00DE7E47"/>
    <w:rsid w:val="00E00B8F"/>
    <w:rsid w:val="00E02C01"/>
    <w:rsid w:val="00E04C45"/>
    <w:rsid w:val="00E13849"/>
    <w:rsid w:val="00E3191C"/>
    <w:rsid w:val="00E35254"/>
    <w:rsid w:val="00E40E6A"/>
    <w:rsid w:val="00E4191C"/>
    <w:rsid w:val="00E43F9F"/>
    <w:rsid w:val="00E4646A"/>
    <w:rsid w:val="00E4730E"/>
    <w:rsid w:val="00E6060B"/>
    <w:rsid w:val="00E61B9D"/>
    <w:rsid w:val="00E62195"/>
    <w:rsid w:val="00E66270"/>
    <w:rsid w:val="00E70CE7"/>
    <w:rsid w:val="00E77CEA"/>
    <w:rsid w:val="00E827AF"/>
    <w:rsid w:val="00E836CE"/>
    <w:rsid w:val="00E86F35"/>
    <w:rsid w:val="00E91D1C"/>
    <w:rsid w:val="00E91E85"/>
    <w:rsid w:val="00E954B1"/>
    <w:rsid w:val="00EA1CD0"/>
    <w:rsid w:val="00EC5F29"/>
    <w:rsid w:val="00ED1B18"/>
    <w:rsid w:val="00ED6CCE"/>
    <w:rsid w:val="00EE5C21"/>
    <w:rsid w:val="00EF241E"/>
    <w:rsid w:val="00F05D83"/>
    <w:rsid w:val="00F07A95"/>
    <w:rsid w:val="00F11F9D"/>
    <w:rsid w:val="00F220E9"/>
    <w:rsid w:val="00F239C4"/>
    <w:rsid w:val="00F24396"/>
    <w:rsid w:val="00F25DBF"/>
    <w:rsid w:val="00F262B1"/>
    <w:rsid w:val="00F273A6"/>
    <w:rsid w:val="00F305C1"/>
    <w:rsid w:val="00F308B8"/>
    <w:rsid w:val="00F31F64"/>
    <w:rsid w:val="00F328B7"/>
    <w:rsid w:val="00F34A58"/>
    <w:rsid w:val="00F438BE"/>
    <w:rsid w:val="00F55F8F"/>
    <w:rsid w:val="00F60122"/>
    <w:rsid w:val="00F61577"/>
    <w:rsid w:val="00F618D0"/>
    <w:rsid w:val="00F66787"/>
    <w:rsid w:val="00F66B5D"/>
    <w:rsid w:val="00F72431"/>
    <w:rsid w:val="00F77120"/>
    <w:rsid w:val="00F8518F"/>
    <w:rsid w:val="00F87A02"/>
    <w:rsid w:val="00F9407E"/>
    <w:rsid w:val="00FA138E"/>
    <w:rsid w:val="00FA23CC"/>
    <w:rsid w:val="00FB1520"/>
    <w:rsid w:val="00FC0B01"/>
    <w:rsid w:val="00FC2FD7"/>
    <w:rsid w:val="00FC3DF0"/>
    <w:rsid w:val="00FD1BA8"/>
    <w:rsid w:val="0EFF7101"/>
    <w:rsid w:val="5BFAB340"/>
    <w:rsid w:val="733950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40C4"/>
  <w15:docId w15:val="{23254AF8-464F-42A4-9C60-F54D7FC9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iPriority="0" w:unhideWhenUsed="1" w:qFormat="1"/>
    <w:lsdException w:name="header" w:semiHidden="1" w:qFormat="1"/>
    <w:lsdException w:name="footer" w:semiHidden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kern w:val="2"/>
    </w:rPr>
  </w:style>
  <w:style w:type="paragraph" w:styleId="a5">
    <w:name w:val="annotation text"/>
    <w:basedOn w:val="a"/>
    <w:link w:val="a6"/>
    <w:unhideWhenUsed/>
    <w:qFormat/>
    <w:rPr>
      <w:sz w:val="20"/>
      <w:szCs w:val="20"/>
    </w:rPr>
  </w:style>
  <w:style w:type="paragraph" w:styleId="a7">
    <w:name w:val="Body Text"/>
    <w:basedOn w:val="a"/>
    <w:link w:val="a8"/>
    <w:qFormat/>
    <w:pPr>
      <w:widowControl/>
      <w:spacing w:after="240"/>
      <w:jc w:val="left"/>
    </w:pPr>
    <w:rPr>
      <w:rFonts w:cstheme="minorBidi"/>
      <w:kern w:val="0"/>
      <w:sz w:val="24"/>
      <w:lang w:eastAsia="en-US"/>
    </w:rPr>
  </w:style>
  <w:style w:type="paragraph" w:styleId="a9">
    <w:name w:val="endnote text"/>
    <w:basedOn w:val="a"/>
    <w:link w:val="aa"/>
    <w:uiPriority w:val="99"/>
    <w:semiHidden/>
    <w:unhideWhenUsed/>
    <w:qFormat/>
    <w:pPr>
      <w:snapToGrid w:val="0"/>
      <w:jc w:val="left"/>
    </w:p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footnote text"/>
    <w:basedOn w:val="a"/>
    <w:link w:val="af2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af3">
    <w:name w:val="annotation subject"/>
    <w:basedOn w:val="a5"/>
    <w:next w:val="a5"/>
    <w:link w:val="af4"/>
    <w:uiPriority w:val="99"/>
    <w:semiHidden/>
    <w:unhideWhenUsed/>
    <w:qFormat/>
    <w:rPr>
      <w:b/>
      <w:bCs/>
    </w:rPr>
  </w:style>
  <w:style w:type="table" w:styleId="af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endnote reference"/>
    <w:uiPriority w:val="99"/>
    <w:semiHidden/>
    <w:unhideWhenUsed/>
    <w:qFormat/>
    <w:rPr>
      <w:vertAlign w:val="superscript"/>
    </w:rPr>
  </w:style>
  <w:style w:type="character" w:styleId="af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8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f9">
    <w:name w:val="footnote reference"/>
    <w:link w:val="ZFootnoteText"/>
    <w:uiPriority w:val="99"/>
    <w:unhideWhenUsed/>
    <w:qFormat/>
    <w:rPr>
      <w:vertAlign w:val="superscript"/>
    </w:rPr>
  </w:style>
  <w:style w:type="paragraph" w:customStyle="1" w:styleId="ZFootnoteText">
    <w:name w:val="Z_Footnote Text"/>
    <w:basedOn w:val="a"/>
    <w:link w:val="af9"/>
    <w:uiPriority w:val="99"/>
    <w:qFormat/>
    <w:pPr>
      <w:widowControl/>
      <w:spacing w:after="160" w:line="240" w:lineRule="exact"/>
      <w:jc w:val="left"/>
    </w:pPr>
    <w:rPr>
      <w:rFonts w:ascii="Calibri" w:hAnsi="Calibri"/>
      <w:kern w:val="0"/>
      <w:sz w:val="20"/>
      <w:szCs w:val="20"/>
      <w:vertAlign w:val="superscript"/>
    </w:rPr>
  </w:style>
  <w:style w:type="character" w:customStyle="1" w:styleId="aa">
    <w:name w:val="尾注文本 字符"/>
    <w:basedOn w:val="a0"/>
    <w:link w:val="a9"/>
    <w:uiPriority w:val="99"/>
    <w:semiHidden/>
    <w:qFormat/>
  </w:style>
  <w:style w:type="character" w:customStyle="1" w:styleId="af0">
    <w:name w:val="页眉 字符"/>
    <w:link w:val="af"/>
    <w:uiPriority w:val="99"/>
    <w:qFormat/>
    <w:rPr>
      <w:sz w:val="18"/>
      <w:szCs w:val="18"/>
    </w:rPr>
  </w:style>
  <w:style w:type="character" w:customStyle="1" w:styleId="ae">
    <w:name w:val="页脚 字符"/>
    <w:link w:val="ad"/>
    <w:uiPriority w:val="99"/>
    <w:qFormat/>
    <w:rPr>
      <w:sz w:val="18"/>
      <w:szCs w:val="18"/>
    </w:rPr>
  </w:style>
  <w:style w:type="character" w:customStyle="1" w:styleId="af2">
    <w:name w:val="脚注文本 字符"/>
    <w:link w:val="af1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pple-converted-space">
    <w:name w:val="apple-converted-space"/>
    <w:basedOn w:val="a0"/>
    <w:qFormat/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qFormat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d"/>
    <w:qFormat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customStyle="1" w:styleId="11">
    <w:name w:val="修订1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a4">
    <w:name w:val="宏文本 字符"/>
    <w:basedOn w:val="a0"/>
    <w:link w:val="a3"/>
    <w:uiPriority w:val="99"/>
    <w:semiHidden/>
    <w:qFormat/>
    <w:rPr>
      <w:rFonts w:ascii="Consolas" w:hAnsi="Consolas"/>
      <w:kern w:val="2"/>
    </w:rPr>
  </w:style>
  <w:style w:type="paragraph" w:customStyle="1" w:styleId="ShortOutline1">
    <w:name w:val="ShortOutline1"/>
    <w:basedOn w:val="a"/>
    <w:uiPriority w:val="4"/>
    <w:qFormat/>
    <w:pPr>
      <w:widowControl/>
      <w:numPr>
        <w:numId w:val="1"/>
      </w:numPr>
      <w:spacing w:before="240" w:after="240"/>
      <w:jc w:val="left"/>
    </w:pPr>
    <w:rPr>
      <w:kern w:val="0"/>
      <w:sz w:val="24"/>
      <w:szCs w:val="24"/>
      <w:lang w:bidi="he-IL"/>
    </w:rPr>
  </w:style>
  <w:style w:type="paragraph" w:customStyle="1" w:styleId="ShortOutline2">
    <w:name w:val="ShortOutline2"/>
    <w:basedOn w:val="a"/>
    <w:uiPriority w:val="4"/>
    <w:qFormat/>
    <w:pPr>
      <w:widowControl/>
      <w:numPr>
        <w:ilvl w:val="1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3">
    <w:name w:val="ShortOutline3"/>
    <w:basedOn w:val="a"/>
    <w:uiPriority w:val="4"/>
    <w:qFormat/>
    <w:pPr>
      <w:widowControl/>
      <w:numPr>
        <w:ilvl w:val="2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4">
    <w:name w:val="ShortOutline4"/>
    <w:basedOn w:val="a"/>
    <w:uiPriority w:val="4"/>
    <w:qFormat/>
    <w:pPr>
      <w:widowControl/>
      <w:numPr>
        <w:ilvl w:val="3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5">
    <w:name w:val="ShortOutline5"/>
    <w:basedOn w:val="a"/>
    <w:uiPriority w:val="4"/>
    <w:qFormat/>
    <w:pPr>
      <w:widowControl/>
      <w:numPr>
        <w:ilvl w:val="4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character" w:customStyle="1" w:styleId="Draftline">
    <w:name w:val="Draftline"/>
    <w:qFormat/>
    <w:rPr>
      <w:rFonts w:ascii="Times New Roman" w:hAnsi="Times New Roman" w:cs="Times New Roman"/>
      <w:vanish/>
      <w:color w:val="FF0000"/>
      <w:spacing w:val="0"/>
      <w:w w:val="100"/>
      <w:kern w:val="0"/>
      <w:sz w:val="15"/>
      <w:szCs w:val="24"/>
      <w:u w:val="none"/>
      <w:vertAlign w:val="baseline"/>
      <w14:shadow w14:blurRad="0" w14:dist="0" w14:dir="0" w14:sx="0" w14:sy="0" w14:kx="0" w14:ky="0" w14:algn="none">
        <w14:srgbClr w14:val="000000"/>
      </w14:shadow>
    </w:rPr>
  </w:style>
  <w:style w:type="paragraph" w:customStyle="1" w:styleId="FooterB">
    <w:name w:val="Footer B"/>
    <w:link w:val="FooterBChar"/>
    <w:qFormat/>
    <w:pPr>
      <w:tabs>
        <w:tab w:val="center" w:pos="4320"/>
        <w:tab w:val="right" w:pos="8640"/>
      </w:tabs>
      <w:snapToGrid w:val="0"/>
    </w:pPr>
    <w:rPr>
      <w:rFonts w:ascii="Times New Roman" w:hAnsi="Times New Roman"/>
      <w:sz w:val="15"/>
      <w:szCs w:val="24"/>
    </w:rPr>
  </w:style>
  <w:style w:type="character" w:customStyle="1" w:styleId="FooterBChar">
    <w:name w:val="Footer B Char"/>
    <w:basedOn w:val="a0"/>
    <w:link w:val="FooterB"/>
    <w:qFormat/>
    <w:rPr>
      <w:rFonts w:ascii="Times New Roman" w:hAnsi="Times New Roman"/>
      <w:sz w:val="15"/>
      <w:szCs w:val="24"/>
    </w:rPr>
  </w:style>
  <w:style w:type="character" w:customStyle="1" w:styleId="a6">
    <w:name w:val="批注文字 字符"/>
    <w:basedOn w:val="a0"/>
    <w:link w:val="a5"/>
    <w:qFormat/>
    <w:rPr>
      <w:rFonts w:ascii="Times New Roman" w:hAnsi="Times New Roman"/>
      <w:kern w:val="2"/>
    </w:rPr>
  </w:style>
  <w:style w:type="character" w:customStyle="1" w:styleId="af4">
    <w:name w:val="批注主题 字符"/>
    <w:basedOn w:val="a6"/>
    <w:link w:val="af3"/>
    <w:uiPriority w:val="99"/>
    <w:semiHidden/>
    <w:qFormat/>
    <w:rPr>
      <w:rFonts w:ascii="Times New Roman" w:hAnsi="Times New Roman"/>
      <w:b/>
      <w:bCs/>
      <w:kern w:val="2"/>
    </w:rPr>
  </w:style>
  <w:style w:type="character" w:customStyle="1" w:styleId="a8">
    <w:name w:val="正文文本 字符"/>
    <w:basedOn w:val="a0"/>
    <w:link w:val="a7"/>
    <w:qFormat/>
    <w:rPr>
      <w:rFonts w:ascii="Times New Roman" w:hAnsi="Times New Roman" w:cstheme="minorBidi"/>
      <w:sz w:val="24"/>
      <w:szCs w:val="22"/>
      <w:lang w:eastAsia="en-US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hAnsi="Times New Roman"/>
      <w:b/>
      <w:bCs/>
      <w:kern w:val="2"/>
      <w:sz w:val="32"/>
      <w:szCs w:val="32"/>
    </w:rPr>
  </w:style>
  <w:style w:type="paragraph" w:customStyle="1" w:styleId="Revision1">
    <w:name w:val="Revision1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customStyle="1" w:styleId="2">
    <w:name w:val="修订2"/>
    <w:hidden/>
    <w:uiPriority w:val="99"/>
    <w:unhideWhenUsed/>
    <w:qFormat/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145</Words>
  <Characters>833</Characters>
  <Application>Microsoft Office Word</Application>
  <DocSecurity>0</DocSecurity>
  <Lines>6</Lines>
  <Paragraphs>1</Paragraphs>
  <ScaleCrop>false</ScaleCrop>
  <Company>Nagashima Ohno &amp; Tsunematsu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Sunland</cp:lastModifiedBy>
  <cp:revision>4</cp:revision>
  <dcterms:created xsi:type="dcterms:W3CDTF">2024-08-30T20:57:00Z</dcterms:created>
  <dcterms:modified xsi:type="dcterms:W3CDTF">2024-09-09T01:59:00Z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099750</vt:lpwstr>
  </property>
  <property fmtid="{D5CDD505-2E9C-101B-9397-08002B2CF9AE}" pid="3" name="Matter">
    <vt:lpwstr>0102</vt:lpwstr>
  </property>
  <property fmtid="{D5CDD505-2E9C-101B-9397-08002B2CF9AE}" pid="4" name="MicrosystemsComparison">
    <vt:lpwstr>{9edf1103-200e-4306-b89e-9c343e727ef8}</vt:lpwstr>
  </property>
  <property fmtid="{D5CDD505-2E9C-101B-9397-08002B2CF9AE}" pid="5" name="REF">
    <vt:lpwstr>{REF:0726920001}</vt:lpwstr>
  </property>
  <property fmtid="{D5CDD505-2E9C-101B-9397-08002B2CF9AE}" pid="6" name="KSOProductBuildVer">
    <vt:lpwstr>2052-6.10.1.8873</vt:lpwstr>
  </property>
  <property fmtid="{D5CDD505-2E9C-101B-9397-08002B2CF9AE}" pid="7" name="ICV">
    <vt:lpwstr>A75E1E33794D121F895FD1660B95D55D_43</vt:lpwstr>
  </property>
</Properties>
</file>