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广东省能源集团有限公司收购国核湛江核电有限公司股权案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国家核电技术有限公司（“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/>
              </w:rPr>
              <w:t>国家核电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广东省能源集团有限公司（“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/>
              </w:rPr>
              <w:t>广东能源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”）</w:t>
            </w:r>
            <w:r>
              <w:rPr>
                <w:rFonts w:hint="eastAsia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签署《增资协议》，</w:t>
            </w:r>
            <w:r>
              <w:rPr>
                <w:rFonts w:hint="eastAsia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广东能源拟通过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增资扩股</w:t>
            </w:r>
            <w:r>
              <w:rPr>
                <w:rFonts w:hint="eastAsia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形式收购国核湛江核电有限公司（“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/>
              </w:rPr>
              <w:t>湛江核电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”）</w:t>
            </w:r>
            <w:r>
              <w:rPr>
                <w:rFonts w:hint="eastAsia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25%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股权</w:t>
            </w:r>
            <w:r>
              <w:rPr>
                <w:rFonts w:hint="eastAsia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。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</w:rPr>
              <w:t>湛江核电在中国境内开展核力发电业务。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交易前，国家核电持有湛江核电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100%的股权，单独控制湛江核电。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</w:rPr>
              <w:t>交易后，国家核电、广东能源分别持有湛江核电5</w:t>
            </w:r>
            <w:r>
              <w:rPr>
                <w:rFonts w:eastAsia="宋体"/>
                <w:bCs/>
                <w:color w:val="000000"/>
                <w:sz w:val="22"/>
                <w:szCs w:val="22"/>
              </w:rPr>
              <w:t>9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</w:rPr>
              <w:t>%、2</w:t>
            </w:r>
            <w:r>
              <w:rPr>
                <w:rFonts w:eastAsia="宋体"/>
                <w:bCs/>
                <w:color w:val="000000"/>
                <w:sz w:val="22"/>
                <w:szCs w:val="22"/>
              </w:rPr>
              <w:t>5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</w:rPr>
              <w:t>%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的</w:t>
            </w:r>
            <w:r>
              <w:rPr>
                <w:rFonts w:hint="default" w:eastAsia="宋体"/>
                <w:bCs/>
                <w:color w:val="000000"/>
                <w:sz w:val="22"/>
                <w:szCs w:val="22"/>
              </w:rPr>
              <w:t>股权，双方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/>
              </w:rPr>
              <w:t>共同控制湛江核电。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国家核电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国家核电于20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07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年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月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18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日成立于北京市，主要业务为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val="en-US" w:bidi="ar"/>
              </w:rPr>
              <w:t>核力发电、技术推广服务等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"/>
              </w:rPr>
              <w:t>国家核电的最终控制人为</w:t>
            </w:r>
            <w:r>
              <w:rPr>
                <w:rFonts w:ascii="Times New Roman" w:hAnsi="Times New Roman" w:eastAsia="宋体"/>
                <w:bCs/>
                <w:color w:val="000000"/>
                <w:sz w:val="22"/>
                <w:szCs w:val="22"/>
                <w:lang w:val="en-US" w:eastAsia="zh-CN" w:bidi="ar"/>
              </w:rPr>
              <w:t>国家电力投资集团有限公司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 w:bidi="ar"/>
              </w:rPr>
              <w:t>，主要业务为项目投资以及电力、热力、铝土矿、氧化铝、电解铝的开发、建设、经营、生产及管理等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eastAsia="zh-CN" w:bidi="ar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广东能源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"/>
              </w:rPr>
              <w:t>广东能源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于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"/>
              </w:rPr>
              <w:t>2001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年8月3日成立于广东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"/>
              </w:rPr>
              <w:t>省广州市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，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主要业务为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val="en-US" w:bidi="ar"/>
              </w:rPr>
              <w:t>电力投资、建设、经营管理、电力（热力）的生产经营和销售等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bidi="ar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bidi="ar"/>
              </w:rPr>
              <w:t>广东能源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为</w:t>
            </w:r>
            <w:r>
              <w:rPr>
                <w:rFonts w:hint="default" w:ascii="Times New Roman" w:hAnsi="Times New Roman" w:eastAsia="宋体"/>
                <w:bCs/>
                <w:color w:val="000000"/>
                <w:sz w:val="22"/>
                <w:szCs w:val="22"/>
                <w:lang w:val="en-US" w:bidi="ar"/>
              </w:rPr>
              <w:t>广东省人民政府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 w:bidi="ar"/>
              </w:rPr>
              <w:t>下属企业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2"/>
                <w:szCs w:val="22"/>
                <w:lang w:eastAsia="zh-CN"/>
              </w:rPr>
              <w:t>横向重叠：</w:t>
            </w:r>
          </w:p>
          <w:tbl>
            <w:tblPr>
              <w:tblStyle w:val="12"/>
              <w:tblW w:w="7404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8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电力生产和供应市场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国家核电：5%-10%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广东能源：0-5%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双方合计：5%-10%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原煤市场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中国境内</w:t>
                  </w:r>
                </w:p>
              </w:tc>
              <w:tc>
                <w:tcPr>
                  <w:tcW w:w="258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国家核电：</w:t>
                  </w: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广东能源：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双方合计：0-5%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</w:pPr>
            <w:r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  <w:t>纵向关联：</w:t>
            </w:r>
          </w:p>
          <w:tbl>
            <w:tblPr>
              <w:tblStyle w:val="12"/>
              <w:tblW w:w="7389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50"/>
              <w:gridCol w:w="1971"/>
              <w:gridCol w:w="2568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5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上游：核电站工程总承包市场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下游：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电力生产和供应市场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</w:t>
                  </w:r>
                </w:p>
              </w:tc>
              <w:tc>
                <w:tcPr>
                  <w:tcW w:w="25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上游：中国境内核电站工程总承包市场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国家核电：</w:t>
                  </w: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0-5%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下游：中国境内电力生产和供应市场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如上所述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5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原煤市场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下游：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电力生产和供应市场</w:t>
                  </w:r>
                </w:p>
              </w:tc>
              <w:tc>
                <w:tcPr>
                  <w:tcW w:w="197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default" w:eastAsia="宋体" w:cs="Times New Roman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5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上游：中国境内原煤市场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如上所述</w:t>
                  </w:r>
                </w:p>
                <w:p>
                  <w:pPr>
                    <w:pStyle w:val="7"/>
                    <w:keepNext w:val="0"/>
                    <w:keepLines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val="en-US" w:eastAsia="zh-CN"/>
                    </w:rPr>
                    <w:t>下游：中国境内电力生产和供应市场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/>
                    <w:jc w:val="left"/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default" w:eastAsia="宋体"/>
                      <w:bCs/>
                      <w:color w:val="000000"/>
                      <w:sz w:val="22"/>
                      <w:szCs w:val="22"/>
                      <w:lang w:eastAsia="zh-CN"/>
                    </w:rPr>
                    <w:t>如上所述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eastAsia="宋体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1FDDDDD7"/>
    <w:rsid w:val="20C2797E"/>
    <w:rsid w:val="215B059A"/>
    <w:rsid w:val="23B4C27E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EAEB3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5B69D1"/>
    <w:rsid w:val="77997569"/>
    <w:rsid w:val="77AFF4F6"/>
    <w:rsid w:val="77DFE97C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B93BEB"/>
    <w:rsid w:val="7BE411F0"/>
    <w:rsid w:val="7BFFD823"/>
    <w:rsid w:val="7C7918BC"/>
    <w:rsid w:val="7EE72273"/>
    <w:rsid w:val="7EF7CDD2"/>
    <w:rsid w:val="7F4F7889"/>
    <w:rsid w:val="7F5A4555"/>
    <w:rsid w:val="7F7BEB9D"/>
    <w:rsid w:val="7FBF2495"/>
    <w:rsid w:val="7FDCAB43"/>
    <w:rsid w:val="7FE15510"/>
    <w:rsid w:val="7FE91E78"/>
    <w:rsid w:val="7FFDE69B"/>
    <w:rsid w:val="97A7370C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D5DB8D8A"/>
    <w:rsid w:val="D76F54F7"/>
    <w:rsid w:val="DDEFBA43"/>
    <w:rsid w:val="DEAFB90F"/>
    <w:rsid w:val="DF21B821"/>
    <w:rsid w:val="DFD76A11"/>
    <w:rsid w:val="E7FFE685"/>
    <w:rsid w:val="E9DEC553"/>
    <w:rsid w:val="E9F71F09"/>
    <w:rsid w:val="EAFD8D58"/>
    <w:rsid w:val="EB6C770B"/>
    <w:rsid w:val="EBCD181E"/>
    <w:rsid w:val="EFFFDD70"/>
    <w:rsid w:val="F17F7A23"/>
    <w:rsid w:val="F1B778F1"/>
    <w:rsid w:val="F3BA9458"/>
    <w:rsid w:val="F3FF743F"/>
    <w:rsid w:val="F4FF55F7"/>
    <w:rsid w:val="F7EFF966"/>
    <w:rsid w:val="F7FD911C"/>
    <w:rsid w:val="F9DF2CA6"/>
    <w:rsid w:val="FB3326CC"/>
    <w:rsid w:val="FBCE4D19"/>
    <w:rsid w:val="FBFE1D07"/>
    <w:rsid w:val="FC7F23FF"/>
    <w:rsid w:val="FDBF10AA"/>
    <w:rsid w:val="FE5FA0A2"/>
    <w:rsid w:val="FEAEC70B"/>
    <w:rsid w:val="FF57FBD6"/>
    <w:rsid w:val="FF5F68C3"/>
    <w:rsid w:val="FF79F9CF"/>
    <w:rsid w:val="FFB70466"/>
    <w:rsid w:val="FFBC3961"/>
    <w:rsid w:val="FFBE6E5C"/>
    <w:rsid w:val="FFCF003E"/>
    <w:rsid w:val="FFD95A98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13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2023-03-04T17:34:00Z</dcterms:created>
  <dc:creator>张斌（反垄断处）</dc:creator>
  <cp:lastModifiedBy>scj</cp:lastModifiedBy>
  <cp:lastPrinted>2024-08-07T01:27:00Z</cp:lastPrinted>
  <dcterms:modified xsi:type="dcterms:W3CDTF">2024-09-20T10:51:20Z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