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黑体" w:cs="Times New Roman"/>
          <w:bCs/>
          <w:kern w:val="0"/>
          <w:sz w:val="44"/>
          <w:szCs w:val="44"/>
          <w:lang w:val="en-GB" w:bidi="ar-AE"/>
        </w:rPr>
      </w:pPr>
      <w:bookmarkStart w:id="0" w:name="_GoBack"/>
      <w:bookmarkEnd w:id="0"/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2"/>
        <w:tblW w:w="95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9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1899" w:type="dxa"/>
            <w:shd w:val="clear" w:color="auto" w:fill="auto"/>
            <w:noWrap w:val="0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cs="Times New Roman"/>
                <w:b/>
                <w:bCs w:val="0"/>
                <w:color w:val="000000"/>
                <w:lang w:val="en-US"/>
              </w:rPr>
            </w:pPr>
            <w:r>
              <w:rPr>
                <w:rFonts w:cs="Times New Roman"/>
                <w:b/>
                <w:bCs w:val="0"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  <w:noWrap w:val="0"/>
            <w:vAlign w:val="center"/>
          </w:tcPr>
          <w:p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>
              <w:rPr>
                <w:szCs w:val="21"/>
              </w:rPr>
              <w:t>胜科公用事业有限公司收购圣诺哥能源公司股权案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2" w:hRule="atLeast"/>
          <w:jc w:val="center"/>
        </w:trPr>
        <w:tc>
          <w:tcPr>
            <w:tcW w:w="1899" w:type="dxa"/>
            <w:shd w:val="clear" w:color="auto" w:fill="auto"/>
            <w:noWrap w:val="0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cs="Times New Roman"/>
                <w:b/>
                <w:bCs w:val="0"/>
                <w:color w:val="000000"/>
                <w:lang w:eastAsia="zh-CN"/>
              </w:rPr>
            </w:pPr>
            <w:r>
              <w:rPr>
                <w:rFonts w:cs="Times New Roman"/>
                <w:b/>
                <w:bCs w:val="0"/>
                <w:color w:val="000000"/>
                <w:lang w:eastAsia="zh-CN"/>
              </w:rPr>
              <w:t>交易概况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cs="Times New Roman"/>
                <w:b/>
                <w:bCs w:val="0"/>
                <w:color w:val="000000"/>
                <w:lang w:val="en-US" w:eastAsia="zh-CN"/>
              </w:rPr>
            </w:pPr>
            <w:r>
              <w:rPr>
                <w:rFonts w:cs="Times New Roman"/>
                <w:b/>
                <w:bCs w:val="0"/>
                <w:color w:val="000000"/>
                <w:lang w:eastAsia="zh-CN"/>
              </w:rPr>
              <w:t>（限200字内）</w:t>
            </w:r>
          </w:p>
        </w:tc>
        <w:tc>
          <w:tcPr>
            <w:tcW w:w="7700" w:type="dxa"/>
            <w:gridSpan w:val="2"/>
            <w:shd w:val="clear" w:color="auto" w:fill="auto"/>
            <w:noWrap w:val="0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b/>
                <w:bCs/>
                <w:szCs w:val="28"/>
              </w:rPr>
            </w:pPr>
            <w:r>
              <w:rPr>
                <w:szCs w:val="21"/>
              </w:rPr>
              <w:t>胜科公用事业有限公司（“胜科”）同</w:t>
            </w:r>
            <w:r>
              <w:rPr>
                <w:szCs w:val="28"/>
              </w:rPr>
              <w:t>ENGIE Global Developments B.V.（“ENGIE”）</w:t>
            </w:r>
            <w:r>
              <w:rPr>
                <w:rFonts w:hint="eastAsia"/>
                <w:szCs w:val="28"/>
              </w:rPr>
              <w:t>签署协议</w:t>
            </w:r>
            <w:r>
              <w:rPr>
                <w:szCs w:val="28"/>
              </w:rPr>
              <w:t>，胜科</w:t>
            </w:r>
            <w:r>
              <w:rPr>
                <w:rFonts w:hint="eastAsia"/>
                <w:szCs w:val="28"/>
                <w:lang w:eastAsia="zh-CN"/>
              </w:rPr>
              <w:t>拟</w:t>
            </w:r>
            <w:r>
              <w:rPr>
                <w:szCs w:val="28"/>
              </w:rPr>
              <w:t>收购</w:t>
            </w:r>
            <w:r>
              <w:rPr>
                <w:szCs w:val="21"/>
              </w:rPr>
              <w:t>圣诺哥能源公司（“</w:t>
            </w:r>
            <w:r>
              <w:rPr>
                <w:rFonts w:hint="eastAsia"/>
                <w:szCs w:val="21"/>
                <w:lang w:eastAsia="zh-CN"/>
              </w:rPr>
              <w:t>圣诺哥能源</w:t>
            </w:r>
            <w:r>
              <w:rPr>
                <w:szCs w:val="21"/>
              </w:rPr>
              <w:t>”）30%股份</w:t>
            </w:r>
            <w:r>
              <w:rPr>
                <w:rFonts w:hint="eastAsia"/>
                <w:szCs w:val="21"/>
              </w:rPr>
              <w:t>。</w:t>
            </w:r>
            <w:r>
              <w:rPr>
                <w:rFonts w:hint="eastAsia"/>
                <w:szCs w:val="21"/>
                <w:lang w:eastAsia="zh-CN"/>
              </w:rPr>
              <w:t>圣诺哥能源</w:t>
            </w:r>
            <w:r>
              <w:rPr>
                <w:rFonts w:hint="eastAsia"/>
                <w:szCs w:val="21"/>
              </w:rPr>
              <w:t>主要在新加坡从事发电业务。</w:t>
            </w:r>
            <w:r>
              <w:rPr>
                <w:szCs w:val="21"/>
              </w:rPr>
              <w:t>交易前，丸红株式会社（“丸红”）、ENGIE和九州电力株式会社（“九州电力”）</w:t>
            </w:r>
            <w:r>
              <w:rPr>
                <w:rFonts w:hint="eastAsia"/>
                <w:szCs w:val="21"/>
                <w:lang w:eastAsia="zh-CN"/>
              </w:rPr>
              <w:t>分别持有圣诺哥能源</w:t>
            </w:r>
            <w:r>
              <w:rPr>
                <w:rFonts w:hint="eastAsia"/>
                <w:szCs w:val="21"/>
                <w:lang w:val="en-US" w:eastAsia="zh-CN"/>
              </w:rPr>
              <w:t>30%、30%、15%的股权，三方</w:t>
            </w:r>
            <w:r>
              <w:rPr>
                <w:szCs w:val="21"/>
              </w:rPr>
              <w:t>共同控制</w:t>
            </w:r>
            <w:r>
              <w:rPr>
                <w:rFonts w:hint="eastAsia"/>
                <w:szCs w:val="21"/>
                <w:lang w:eastAsia="zh-CN"/>
              </w:rPr>
              <w:t>圣诺哥能源</w:t>
            </w:r>
            <w:r>
              <w:rPr>
                <w:szCs w:val="21"/>
              </w:rPr>
              <w:t>。交易后，丸红、胜科和九州电力</w:t>
            </w:r>
            <w:r>
              <w:rPr>
                <w:rFonts w:hint="eastAsia"/>
                <w:szCs w:val="21"/>
                <w:lang w:eastAsia="zh-CN"/>
              </w:rPr>
              <w:t>分别持有圣诺哥能源</w:t>
            </w:r>
            <w:r>
              <w:rPr>
                <w:rFonts w:hint="eastAsia"/>
                <w:szCs w:val="21"/>
                <w:lang w:val="en-US" w:eastAsia="zh-CN"/>
              </w:rPr>
              <w:t>30%、30%、15%的股权，三方</w:t>
            </w:r>
            <w:r>
              <w:rPr>
                <w:szCs w:val="21"/>
              </w:rPr>
              <w:t>共同控制</w:t>
            </w:r>
            <w:r>
              <w:rPr>
                <w:rFonts w:hint="eastAsia"/>
                <w:szCs w:val="21"/>
                <w:lang w:eastAsia="zh-CN"/>
              </w:rPr>
              <w:t>圣诺哥能源</w:t>
            </w:r>
            <w:r>
              <w:rPr>
                <w:szCs w:val="21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1" w:hRule="atLeast"/>
          <w:jc w:val="center"/>
        </w:trPr>
        <w:tc>
          <w:tcPr>
            <w:tcW w:w="1899" w:type="dxa"/>
            <w:vMerge w:val="restart"/>
            <w:shd w:val="clear" w:color="auto" w:fill="auto"/>
            <w:noWrap w:val="0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cs="Times New Roman"/>
                <w:b/>
                <w:bCs w:val="0"/>
                <w:color w:val="000000"/>
                <w:lang w:eastAsia="zh-CN"/>
              </w:rPr>
            </w:pPr>
            <w:r>
              <w:rPr>
                <w:rFonts w:cs="Times New Roman"/>
                <w:b/>
                <w:bCs w:val="0"/>
                <w:color w:val="000000"/>
                <w:lang w:eastAsia="zh-CN"/>
              </w:rPr>
              <w:t>参与集中的经营者简介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cs="Times New Roman"/>
                <w:b/>
                <w:bCs w:val="0"/>
                <w:color w:val="000000"/>
                <w:lang w:val="en-US" w:eastAsia="zh-CN"/>
              </w:rPr>
            </w:pPr>
            <w:r>
              <w:rPr>
                <w:rFonts w:cs="Times New Roman"/>
                <w:b/>
                <w:bCs w:val="0"/>
                <w:color w:val="000000"/>
                <w:lang w:eastAsia="zh-CN"/>
              </w:rPr>
              <w:t>（每个限</w:t>
            </w:r>
            <w:r>
              <w:rPr>
                <w:rFonts w:cs="Times New Roman"/>
                <w:b/>
                <w:bCs w:val="0"/>
                <w:color w:val="000000"/>
                <w:lang w:val="en-US" w:eastAsia="zh-CN"/>
              </w:rPr>
              <w:t>100字以内</w:t>
            </w:r>
            <w:r>
              <w:rPr>
                <w:rFonts w:cs="Times New Roman"/>
                <w:b/>
                <w:bCs w:val="0"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shd w:val="clear" w:color="auto" w:fill="auto"/>
            <w:noWrap w:val="0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1.</w:t>
            </w:r>
            <w:r>
              <w:rPr>
                <w:rFonts w:cs="Times New Roman"/>
                <w:szCs w:val="21"/>
                <w:lang w:eastAsia="zh-CN"/>
              </w:rPr>
              <w:t>胜科</w:t>
            </w:r>
          </w:p>
        </w:tc>
        <w:tc>
          <w:tcPr>
            <w:tcW w:w="6093" w:type="dxa"/>
            <w:shd w:val="clear" w:color="auto" w:fill="auto"/>
            <w:noWrap w:val="0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cs="Times New Roman"/>
                <w:szCs w:val="21"/>
                <w:lang w:eastAsia="zh-CN"/>
              </w:rPr>
            </w:pPr>
            <w:r>
              <w:rPr>
                <w:rFonts w:cs="Times New Roman"/>
                <w:szCs w:val="21"/>
                <w:lang w:eastAsia="zh-CN"/>
              </w:rPr>
              <w:t>胜科于1973年4月9日成立于新加坡，</w:t>
            </w:r>
            <w:r>
              <w:rPr>
                <w:rFonts w:hint="eastAsia" w:cs="Times New Roman"/>
                <w:szCs w:val="21"/>
                <w:lang w:eastAsia="zh-CN"/>
              </w:rPr>
              <w:t>主要从事</w:t>
            </w:r>
            <w:r>
              <w:rPr>
                <w:rFonts w:cs="Times New Roman"/>
                <w:szCs w:val="21"/>
                <w:lang w:eastAsia="zh-CN"/>
              </w:rPr>
              <w:t>工业流程、工程设计和咨询服务</w:t>
            </w:r>
            <w:r>
              <w:rPr>
                <w:rFonts w:hint="eastAsia" w:cs="Times New Roman"/>
                <w:szCs w:val="21"/>
                <w:lang w:eastAsia="zh-CN"/>
              </w:rPr>
              <w:t>等业务</w:t>
            </w:r>
            <w:r>
              <w:rPr>
                <w:rFonts w:cs="Times New Roman"/>
                <w:szCs w:val="21"/>
                <w:lang w:eastAsia="zh-CN"/>
              </w:rPr>
              <w:t>。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szCs w:val="21"/>
                <w:lang w:eastAsia="zh-CN"/>
              </w:rPr>
              <w:t>胜科的最终控制人是胜科工业有限公司，</w:t>
            </w:r>
            <w:r>
              <w:rPr>
                <w:rFonts w:hint="eastAsia" w:cs="Times New Roman"/>
                <w:szCs w:val="21"/>
                <w:lang w:eastAsia="zh-CN"/>
              </w:rPr>
              <w:t>是新加坡证券交易所上市公司，</w:t>
            </w:r>
            <w:r>
              <w:rPr>
                <w:rFonts w:cs="Times New Roman"/>
                <w:szCs w:val="21"/>
                <w:lang w:eastAsia="zh-CN"/>
              </w:rPr>
              <w:t>主要从事</w:t>
            </w:r>
            <w:r>
              <w:rPr>
                <w:rFonts w:cs="Times New Roman"/>
                <w:lang w:eastAsia="zh-CN"/>
              </w:rPr>
              <w:t>天然气和相关服务、可再生能源、城市综合解决方案和低碳解决方案业务。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2" w:hRule="atLeast"/>
          <w:jc w:val="center"/>
        </w:trPr>
        <w:tc>
          <w:tcPr>
            <w:tcW w:w="1899" w:type="dxa"/>
            <w:vMerge w:val="continue"/>
            <w:shd w:val="clear" w:color="auto" w:fill="auto"/>
            <w:noWrap w:val="0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cs="Times New Roman"/>
                <w:b/>
                <w:bCs w:val="0"/>
                <w:color w:val="000000"/>
                <w:lang w:val="en-US" w:eastAsia="zh-CN"/>
              </w:rPr>
            </w:pPr>
          </w:p>
        </w:tc>
        <w:tc>
          <w:tcPr>
            <w:tcW w:w="1607" w:type="dxa"/>
            <w:shd w:val="clear" w:color="auto" w:fill="auto"/>
            <w:noWrap w:val="0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r>
              <w:rPr>
                <w:rFonts w:cs="Times New Roman"/>
                <w:szCs w:val="21"/>
                <w:lang w:eastAsia="zh-CN"/>
              </w:rPr>
              <w:t>丸红</w:t>
            </w:r>
          </w:p>
        </w:tc>
        <w:tc>
          <w:tcPr>
            <w:tcW w:w="6093" w:type="dxa"/>
            <w:shd w:val="clear" w:color="auto" w:fill="auto"/>
            <w:noWrap w:val="0"/>
            <w:vAlign w:val="center"/>
          </w:tcPr>
          <w:p>
            <w:pPr>
              <w:adjustRightInd w:val="0"/>
              <w:snapToGrid w:val="0"/>
              <w:spacing w:after="0"/>
            </w:pPr>
            <w:r>
              <w:rPr>
                <w:szCs w:val="21"/>
              </w:rPr>
              <w:t>丸红于1949年12月1日成立于日本</w:t>
            </w:r>
            <w:r>
              <w:rPr>
                <w:bCs/>
                <w:color w:val="000000"/>
              </w:rPr>
              <w:t>，是东京证券交易所上市公司。丸红</w:t>
            </w:r>
            <w:r>
              <w:rPr>
                <w:szCs w:val="21"/>
              </w:rPr>
              <w:t>主要从事进出口贸易（含第三国贸易）及涉及众多商业领域的国内贸易业务</w:t>
            </w:r>
            <w:r>
              <w:t>。</w:t>
            </w:r>
          </w:p>
          <w:p>
            <w:pPr>
              <w:adjustRightInd w:val="0"/>
              <w:snapToGrid w:val="0"/>
              <w:spacing w:after="0"/>
              <w:rPr>
                <w:szCs w:val="21"/>
              </w:rPr>
            </w:pPr>
            <w:r>
              <w:rPr>
                <w:szCs w:val="21"/>
              </w:rPr>
              <w:t>丸红</w:t>
            </w:r>
            <w:r>
              <w:rPr>
                <w:rFonts w:hint="eastAsia"/>
                <w:szCs w:val="21"/>
                <w:lang w:eastAsia="zh-CN"/>
              </w:rPr>
              <w:t>无</w:t>
            </w:r>
            <w:r>
              <w:rPr>
                <w:szCs w:val="21"/>
              </w:rPr>
              <w:t>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2" w:hRule="atLeast"/>
          <w:jc w:val="center"/>
        </w:trPr>
        <w:tc>
          <w:tcPr>
            <w:tcW w:w="1899" w:type="dxa"/>
            <w:vMerge w:val="continue"/>
            <w:shd w:val="clear" w:color="auto" w:fill="auto"/>
            <w:noWrap w:val="0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cs="Times New Roman"/>
                <w:b/>
                <w:bCs w:val="0"/>
                <w:color w:val="000000"/>
                <w:lang w:val="en-US" w:eastAsia="zh-CN"/>
              </w:rPr>
            </w:pPr>
          </w:p>
        </w:tc>
        <w:tc>
          <w:tcPr>
            <w:tcW w:w="1607" w:type="dxa"/>
            <w:shd w:val="clear" w:color="auto" w:fill="auto"/>
            <w:noWrap w:val="0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3.九州电力</w:t>
            </w:r>
          </w:p>
        </w:tc>
        <w:tc>
          <w:tcPr>
            <w:tcW w:w="6093" w:type="dxa"/>
            <w:shd w:val="clear" w:color="auto" w:fill="auto"/>
            <w:noWrap w:val="0"/>
            <w:vAlign w:val="center"/>
          </w:tcPr>
          <w:p>
            <w:pPr>
              <w:adjustRightInd w:val="0"/>
              <w:snapToGrid w:val="0"/>
              <w:spacing w:after="0"/>
              <w:rPr>
                <w:szCs w:val="21"/>
              </w:rPr>
            </w:pPr>
            <w:r>
              <w:rPr>
                <w:szCs w:val="21"/>
              </w:rPr>
              <w:t>九州电力于1951年5月1日成立于日本，是东京证券交易所和福冈证券交易所上市公司。九州电力主要在日本国内和国际范围内从事发电、输电和配电业务。</w:t>
            </w:r>
          </w:p>
          <w:p>
            <w:pPr>
              <w:adjustRightInd w:val="0"/>
              <w:snapToGrid w:val="0"/>
              <w:spacing w:after="0"/>
              <w:rPr>
                <w:szCs w:val="21"/>
              </w:rPr>
            </w:pPr>
            <w:r>
              <w:rPr>
                <w:szCs w:val="21"/>
              </w:rPr>
              <w:t>九州电力</w:t>
            </w:r>
            <w:r>
              <w:rPr>
                <w:rFonts w:hint="eastAsia"/>
                <w:szCs w:val="21"/>
                <w:lang w:eastAsia="zh-CN"/>
              </w:rPr>
              <w:t>无</w:t>
            </w:r>
            <w:r>
              <w:rPr>
                <w:szCs w:val="21"/>
              </w:rPr>
              <w:t>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7" w:hRule="atLeast"/>
          <w:jc w:val="center"/>
        </w:trPr>
        <w:tc>
          <w:tcPr>
            <w:tcW w:w="1899" w:type="dxa"/>
            <w:vMerge w:val="continue"/>
            <w:shd w:val="clear" w:color="auto" w:fill="auto"/>
            <w:noWrap w:val="0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cs="Times New Roman"/>
                <w:b/>
                <w:bCs w:val="0"/>
                <w:color w:val="000000"/>
                <w:lang w:val="en-US" w:eastAsia="zh-CN"/>
              </w:rPr>
            </w:pPr>
          </w:p>
        </w:tc>
        <w:tc>
          <w:tcPr>
            <w:tcW w:w="1607" w:type="dxa"/>
            <w:shd w:val="clear" w:color="auto" w:fill="auto"/>
            <w:noWrap w:val="0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/>
                <w:bCs/>
                <w:color w:val="000000"/>
                <w:lang w:val="en-US" w:eastAsia="zh-CN"/>
              </w:rPr>
              <w:t>4.</w:t>
            </w:r>
            <w:r>
              <w:rPr>
                <w:rFonts w:hint="eastAsia"/>
                <w:szCs w:val="21"/>
                <w:lang w:eastAsia="zh-CN"/>
              </w:rPr>
              <w:t>圣诺哥能源</w:t>
            </w:r>
          </w:p>
        </w:tc>
        <w:tc>
          <w:tcPr>
            <w:tcW w:w="6093" w:type="dxa"/>
            <w:shd w:val="clear" w:color="auto" w:fill="auto"/>
            <w:noWrap w:val="0"/>
            <w:vAlign w:val="center"/>
          </w:tcPr>
          <w:p>
            <w:pPr>
              <w:adjustRightInd w:val="0"/>
              <w:snapToGrid w:val="0"/>
              <w:spacing w:after="0"/>
              <w:rPr>
                <w:szCs w:val="21"/>
              </w:rPr>
            </w:pPr>
            <w:r>
              <w:rPr>
                <w:rFonts w:hint="eastAsia"/>
                <w:szCs w:val="21"/>
                <w:lang w:eastAsia="zh-CN"/>
              </w:rPr>
              <w:t>圣诺哥能源</w:t>
            </w:r>
            <w:r>
              <w:rPr>
                <w:szCs w:val="21"/>
              </w:rPr>
              <w:t>于2008年8月22日成立于新加坡，主要在新加坡开展发电业务。</w:t>
            </w:r>
          </w:p>
          <w:p>
            <w:pPr>
              <w:adjustRightInd w:val="0"/>
              <w:snapToGrid w:val="0"/>
              <w:spacing w:after="0"/>
              <w:rPr>
                <w:szCs w:val="21"/>
              </w:rPr>
            </w:pPr>
            <w:r>
              <w:rPr>
                <w:szCs w:val="21"/>
              </w:rPr>
              <w:t>目标公司的最终控制人是丸红、ENGIE和九州电力，ENGIE是</w:t>
            </w:r>
            <w:r>
              <w:t>一家可再生能源和服务领域的跨国公司，丸红和九州电力的业务</w:t>
            </w:r>
            <w:r>
              <w:rPr>
                <w:rFonts w:hint="eastAsia"/>
                <w:lang w:eastAsia="zh-CN"/>
              </w:rPr>
              <w:t>如上所述</w:t>
            </w:r>
            <w: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99" w:type="dxa"/>
            <w:vMerge w:val="restart"/>
            <w:shd w:val="clear" w:color="auto" w:fill="auto"/>
            <w:noWrap w:val="0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cs="Times New Roman"/>
                <w:b/>
                <w:bCs w:val="0"/>
                <w:color w:val="000000"/>
                <w:lang w:val="en-US" w:eastAsia="zh-CN"/>
              </w:rPr>
            </w:pPr>
            <w:r>
              <w:rPr>
                <w:rFonts w:cs="Times New Roman"/>
                <w:b/>
                <w:bCs w:val="0"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  <w:noWrap w:val="0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1、</w:t>
            </w:r>
            <w:r>
              <w:rPr>
                <w:rFonts w:hint="eastAsia" w:cs="Times New Roman"/>
                <w:bCs/>
                <w:color w:val="000000"/>
                <w:lang w:eastAsia="zh-CN"/>
              </w:rPr>
              <w:t>在同一相关市场，参与集中的经营者所占的市场份额之和小于15%。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1899" w:type="dxa"/>
            <w:vMerge w:val="continue"/>
            <w:shd w:val="clear" w:color="auto" w:fill="auto"/>
            <w:noWrap w:val="0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cs="Times New Roman"/>
                <w:b/>
                <w:bCs w:val="0"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  <w:noWrap w:val="0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F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2、</w:t>
            </w:r>
            <w:r>
              <w:rPr>
                <w:rFonts w:hint="eastAsia" w:cs="Times New Roman"/>
                <w:bCs/>
                <w:color w:val="000000"/>
                <w:lang w:eastAsia="zh-CN"/>
              </w:rPr>
              <w:t>在上下游市场，参与集中的经营者所占的市场份额均小于25%。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899" w:type="dxa"/>
            <w:vMerge w:val="continue"/>
            <w:shd w:val="clear" w:color="auto" w:fill="auto"/>
            <w:noWrap w:val="0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cs="Times New Roman"/>
                <w:b/>
                <w:bCs w:val="0"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  <w:noWrap w:val="0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3、</w:t>
            </w:r>
            <w:r>
              <w:rPr>
                <w:rFonts w:hint="eastAsia" w:cs="Times New Roman"/>
                <w:bCs/>
                <w:color w:val="000000"/>
                <w:lang w:eastAsia="zh-CN"/>
              </w:rPr>
              <w:t>不在同一相关市场也不存在上下游关系的参与集中的经营者，在与交易有关的每个市场所占的市场份额均小于25%。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899" w:type="dxa"/>
            <w:vMerge w:val="continue"/>
            <w:shd w:val="clear" w:color="auto" w:fill="auto"/>
            <w:noWrap w:val="0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cs="Times New Roman"/>
                <w:b/>
                <w:bCs w:val="0"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  <w:noWrap w:val="0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F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1899" w:type="dxa"/>
            <w:vMerge w:val="continue"/>
            <w:shd w:val="clear" w:color="auto" w:fill="auto"/>
            <w:noWrap w:val="0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cs="Times New Roman"/>
                <w:b/>
                <w:bCs w:val="0"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  <w:noWrap w:val="0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F0FE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1899" w:type="dxa"/>
            <w:vMerge w:val="continue"/>
            <w:shd w:val="clear" w:color="auto" w:fill="auto"/>
            <w:noWrap w:val="0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cs="Times New Roman"/>
                <w:b/>
                <w:bCs w:val="0"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shd w:val="clear" w:color="auto" w:fill="auto"/>
            <w:noWrap w:val="0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cs="Times New Roman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899" w:type="dxa"/>
            <w:shd w:val="clear" w:color="auto" w:fill="auto"/>
            <w:noWrap w:val="0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cs="Times New Roman"/>
                <w:b/>
                <w:bCs w:val="0"/>
                <w:color w:val="000000"/>
                <w:lang w:val="en-US" w:eastAsia="zh-CN"/>
              </w:rPr>
            </w:pPr>
            <w:r>
              <w:rPr>
                <w:rFonts w:cs="Times New Roman"/>
                <w:b/>
                <w:bCs w:val="0"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shd w:val="clear" w:color="auto" w:fill="auto"/>
            <w:noWrap w:val="0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cs="Times New Roman"/>
                <w:bCs/>
                <w:lang w:eastAsia="zh-CN"/>
              </w:rPr>
            </w:pPr>
            <w:r>
              <w:rPr>
                <w:rFonts w:cs="Times New Roman"/>
                <w:bCs/>
                <w:color w:val="000000"/>
                <w:lang w:eastAsia="zh-CN"/>
              </w:rPr>
              <w:t>不适用</w:t>
            </w:r>
          </w:p>
        </w:tc>
      </w:tr>
    </w:tbl>
    <w:p>
      <w:pPr>
        <w:adjustRightInd w:val="0"/>
        <w:snapToGrid w:val="0"/>
        <w:rPr>
          <w:rFonts w:hint="default" w:ascii="Times New Roman" w:hAnsi="Times New Roman" w:cs="Times New Roman" w:eastAsiaTheme="minor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Microsoft YaHei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k1Nzg2Yzk0OTU3YjY2MGZjZDE3YjZmMzRiYmI2NzM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DF269A"/>
    <w:rsid w:val="08ED34FD"/>
    <w:rsid w:val="093446A7"/>
    <w:rsid w:val="0AF22185"/>
    <w:rsid w:val="0B1835C3"/>
    <w:rsid w:val="0B63273E"/>
    <w:rsid w:val="0BD91CE7"/>
    <w:rsid w:val="0C6B60D7"/>
    <w:rsid w:val="0DE526A7"/>
    <w:rsid w:val="0E5C7E9D"/>
    <w:rsid w:val="0EEC791B"/>
    <w:rsid w:val="0F272A69"/>
    <w:rsid w:val="0FA436B7"/>
    <w:rsid w:val="0FBBC6D8"/>
    <w:rsid w:val="10C02711"/>
    <w:rsid w:val="11D03D09"/>
    <w:rsid w:val="12ED74AA"/>
    <w:rsid w:val="130B6D76"/>
    <w:rsid w:val="13236AF1"/>
    <w:rsid w:val="13770C5C"/>
    <w:rsid w:val="13D6674E"/>
    <w:rsid w:val="150C1E94"/>
    <w:rsid w:val="15D94F21"/>
    <w:rsid w:val="15E47716"/>
    <w:rsid w:val="1680064E"/>
    <w:rsid w:val="170576D4"/>
    <w:rsid w:val="17436509"/>
    <w:rsid w:val="176A2EA4"/>
    <w:rsid w:val="19143417"/>
    <w:rsid w:val="1AA11230"/>
    <w:rsid w:val="1B2D6269"/>
    <w:rsid w:val="1BF9394B"/>
    <w:rsid w:val="1BF9AB71"/>
    <w:rsid w:val="1C361957"/>
    <w:rsid w:val="1DA24124"/>
    <w:rsid w:val="1DFE30C6"/>
    <w:rsid w:val="1E865B1A"/>
    <w:rsid w:val="1F2073B8"/>
    <w:rsid w:val="1FC81833"/>
    <w:rsid w:val="20C2797E"/>
    <w:rsid w:val="215B059A"/>
    <w:rsid w:val="22151D28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DFF8C0F"/>
    <w:rsid w:val="2ECF569F"/>
    <w:rsid w:val="2F0902B7"/>
    <w:rsid w:val="3025112D"/>
    <w:rsid w:val="319E78FD"/>
    <w:rsid w:val="339B1A7D"/>
    <w:rsid w:val="34390907"/>
    <w:rsid w:val="34527864"/>
    <w:rsid w:val="34D859DA"/>
    <w:rsid w:val="356065C1"/>
    <w:rsid w:val="35741F7B"/>
    <w:rsid w:val="35927D49"/>
    <w:rsid w:val="36647739"/>
    <w:rsid w:val="36722108"/>
    <w:rsid w:val="37736187"/>
    <w:rsid w:val="37EC4B4C"/>
    <w:rsid w:val="3A7D25F4"/>
    <w:rsid w:val="3B6C128B"/>
    <w:rsid w:val="3BF42FA2"/>
    <w:rsid w:val="3C1B3849"/>
    <w:rsid w:val="3C2232BF"/>
    <w:rsid w:val="3DBE0E38"/>
    <w:rsid w:val="3DCF2C73"/>
    <w:rsid w:val="3E3B322A"/>
    <w:rsid w:val="3EB7365E"/>
    <w:rsid w:val="3EBE2D3F"/>
    <w:rsid w:val="3ED7D01C"/>
    <w:rsid w:val="3EE73D98"/>
    <w:rsid w:val="3F3D2194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C824703"/>
    <w:rsid w:val="4CC01CF8"/>
    <w:rsid w:val="4CFD75DE"/>
    <w:rsid w:val="4D533669"/>
    <w:rsid w:val="4D611881"/>
    <w:rsid w:val="4DB67BAD"/>
    <w:rsid w:val="4DBF710D"/>
    <w:rsid w:val="4E585190"/>
    <w:rsid w:val="4E626EA5"/>
    <w:rsid w:val="4F7D0643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0E1071"/>
    <w:rsid w:val="563C0C84"/>
    <w:rsid w:val="567C47AD"/>
    <w:rsid w:val="568C7EFA"/>
    <w:rsid w:val="5721053D"/>
    <w:rsid w:val="59E639A5"/>
    <w:rsid w:val="5A320350"/>
    <w:rsid w:val="5A4E1134"/>
    <w:rsid w:val="5A8F5421"/>
    <w:rsid w:val="5AB377AC"/>
    <w:rsid w:val="5ADB7A9F"/>
    <w:rsid w:val="5BDF7AA8"/>
    <w:rsid w:val="5CC770F3"/>
    <w:rsid w:val="5DFF5221"/>
    <w:rsid w:val="5E606197"/>
    <w:rsid w:val="5E758AD3"/>
    <w:rsid w:val="5EFFEB53"/>
    <w:rsid w:val="5F5B3889"/>
    <w:rsid w:val="5F7404E1"/>
    <w:rsid w:val="60B85CFA"/>
    <w:rsid w:val="61AC7C2D"/>
    <w:rsid w:val="61BE5E80"/>
    <w:rsid w:val="61F32521"/>
    <w:rsid w:val="63F6661D"/>
    <w:rsid w:val="647B624F"/>
    <w:rsid w:val="64F94FB6"/>
    <w:rsid w:val="64FF0119"/>
    <w:rsid w:val="650C61D5"/>
    <w:rsid w:val="65183212"/>
    <w:rsid w:val="654F569B"/>
    <w:rsid w:val="65AC0421"/>
    <w:rsid w:val="67090219"/>
    <w:rsid w:val="6754015D"/>
    <w:rsid w:val="67885F66"/>
    <w:rsid w:val="67D469E8"/>
    <w:rsid w:val="685D233B"/>
    <w:rsid w:val="69C0748D"/>
    <w:rsid w:val="6A7D30C3"/>
    <w:rsid w:val="6ABB6FCD"/>
    <w:rsid w:val="6B9261CD"/>
    <w:rsid w:val="6B9A71CB"/>
    <w:rsid w:val="6BCB1BF4"/>
    <w:rsid w:val="6BCC0CB3"/>
    <w:rsid w:val="6C45316D"/>
    <w:rsid w:val="6CBF87B4"/>
    <w:rsid w:val="6DD538E7"/>
    <w:rsid w:val="6DEFBAE0"/>
    <w:rsid w:val="6E372E5F"/>
    <w:rsid w:val="6E3FE820"/>
    <w:rsid w:val="6E786ABC"/>
    <w:rsid w:val="6F538C10"/>
    <w:rsid w:val="6FDF5799"/>
    <w:rsid w:val="710A7485"/>
    <w:rsid w:val="71394751"/>
    <w:rsid w:val="72131803"/>
    <w:rsid w:val="723024E6"/>
    <w:rsid w:val="73026B48"/>
    <w:rsid w:val="74566BED"/>
    <w:rsid w:val="74CE550B"/>
    <w:rsid w:val="74FA9F2D"/>
    <w:rsid w:val="755F49C7"/>
    <w:rsid w:val="767FE0B3"/>
    <w:rsid w:val="76AFBFF1"/>
    <w:rsid w:val="76CA40F3"/>
    <w:rsid w:val="77527FDF"/>
    <w:rsid w:val="77AFF4F6"/>
    <w:rsid w:val="77F781EE"/>
    <w:rsid w:val="77FF6A8C"/>
    <w:rsid w:val="77FFCFC3"/>
    <w:rsid w:val="78410251"/>
    <w:rsid w:val="793FB7A1"/>
    <w:rsid w:val="7A66B182"/>
    <w:rsid w:val="7A9C06E1"/>
    <w:rsid w:val="7AB91678"/>
    <w:rsid w:val="7B8F578C"/>
    <w:rsid w:val="7B9A66EF"/>
    <w:rsid w:val="7BE411F0"/>
    <w:rsid w:val="7BFFD823"/>
    <w:rsid w:val="7C7918BC"/>
    <w:rsid w:val="7DCE664D"/>
    <w:rsid w:val="7DF91645"/>
    <w:rsid w:val="7EE72273"/>
    <w:rsid w:val="7EF7CDD2"/>
    <w:rsid w:val="7F7BEB9D"/>
    <w:rsid w:val="7FBF2495"/>
    <w:rsid w:val="7FDCAB43"/>
    <w:rsid w:val="7FE15510"/>
    <w:rsid w:val="7FE91E78"/>
    <w:rsid w:val="7FF500C7"/>
    <w:rsid w:val="7FF9DDDB"/>
    <w:rsid w:val="7FFDE69B"/>
    <w:rsid w:val="9CBD0B1A"/>
    <w:rsid w:val="A7F9C1DE"/>
    <w:rsid w:val="A9AD231D"/>
    <w:rsid w:val="ADFAC79E"/>
    <w:rsid w:val="AE7E1E17"/>
    <w:rsid w:val="B593FB7D"/>
    <w:rsid w:val="B9B92832"/>
    <w:rsid w:val="BCB7048F"/>
    <w:rsid w:val="BCF89F06"/>
    <w:rsid w:val="BEAF73DD"/>
    <w:rsid w:val="BF8E36EE"/>
    <w:rsid w:val="BFDFB85E"/>
    <w:rsid w:val="BFF739EC"/>
    <w:rsid w:val="C3F5BA26"/>
    <w:rsid w:val="D5DB8D8A"/>
    <w:rsid w:val="D6799196"/>
    <w:rsid w:val="DDEFBA43"/>
    <w:rsid w:val="DEAFB90F"/>
    <w:rsid w:val="DF21B821"/>
    <w:rsid w:val="DFD76A11"/>
    <w:rsid w:val="E7FFE685"/>
    <w:rsid w:val="E9F71F09"/>
    <w:rsid w:val="EAFD8D58"/>
    <w:rsid w:val="EB6C770B"/>
    <w:rsid w:val="EBCD181E"/>
    <w:rsid w:val="EFFFDD70"/>
    <w:rsid w:val="F1B778F1"/>
    <w:rsid w:val="F3FF743F"/>
    <w:rsid w:val="F4FF55F7"/>
    <w:rsid w:val="F7EFF966"/>
    <w:rsid w:val="F7FD911C"/>
    <w:rsid w:val="F9DF2CA6"/>
    <w:rsid w:val="FB3326CC"/>
    <w:rsid w:val="FBCE4D19"/>
    <w:rsid w:val="FBFE1D07"/>
    <w:rsid w:val="FDBF10AA"/>
    <w:rsid w:val="FE5FA0A2"/>
    <w:rsid w:val="FEAEC70B"/>
    <w:rsid w:val="FF57FBD6"/>
    <w:rsid w:val="FFB70466"/>
    <w:rsid w:val="FFBC3961"/>
    <w:rsid w:val="FFCF003E"/>
    <w:rsid w:val="FFDB6921"/>
    <w:rsid w:val="FFEE6CF6"/>
    <w:rsid w:val="FFFF3A53"/>
    <w:rsid w:val="FFFF9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名称2"/>
    <w:basedOn w:val="4"/>
    <w:qFormat/>
    <w:uiPriority w:val="0"/>
    <w:pPr>
      <w:spacing w:after="312" w:afterLines="100"/>
    </w:pPr>
    <w:rPr>
      <w:b w:val="0"/>
      <w:sz w:val="20"/>
    </w:rPr>
  </w:style>
  <w:style w:type="paragraph" w:customStyle="1" w:styleId="4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paragraph" w:styleId="5">
    <w:name w:val="Normal Indent"/>
    <w:basedOn w:val="1"/>
    <w:next w:val="1"/>
    <w:qFormat/>
    <w:uiPriority w:val="99"/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link w:val="18"/>
    <w:unhideWhenUsed/>
    <w:qFormat/>
    <w:uiPriority w:val="99"/>
    <w:pPr>
      <w:spacing w:after="120"/>
    </w:pPr>
  </w:style>
  <w:style w:type="paragraph" w:styleId="8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paragraph" w:styleId="11">
    <w:name w:val="Body Text First Indent"/>
    <w:basedOn w:val="7"/>
    <w:qFormat/>
    <w:uiPriority w:val="0"/>
    <w:pPr>
      <w:ind w:firstLine="420" w:firstLineChars="100"/>
    </w:pPr>
  </w:style>
  <w:style w:type="table" w:styleId="13">
    <w:name w:val="Table Grid"/>
    <w:basedOn w:val="1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5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customStyle="1" w:styleId="16">
    <w:name w:val="页眉 字符"/>
    <w:basedOn w:val="14"/>
    <w:link w:val="9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页脚 字符"/>
    <w:basedOn w:val="14"/>
    <w:link w:val="8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正文文本 字符"/>
    <w:basedOn w:val="14"/>
    <w:link w:val="7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paragraph" w:customStyle="1" w:styleId="20">
    <w:name w:val="Footer Right"/>
    <w:basedOn w:val="8"/>
    <w:qFormat/>
    <w:uiPriority w:val="0"/>
    <w:pPr>
      <w:jc w:val="right"/>
    </w:pPr>
  </w:style>
  <w:style w:type="paragraph" w:customStyle="1" w:styleId="21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5</Pages>
  <Words>1895</Words>
  <Characters>2096</Characters>
  <Lines>1</Lines>
  <Paragraphs>1</Paragraphs>
  <TotalTime>21</TotalTime>
  <ScaleCrop>false</ScaleCrop>
  <LinksUpToDate>false</LinksUpToDate>
  <CharactersWithSpaces>2225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2023-02-27T09:34:00Z</dcterms:created>
  <dc:creator>张斌（反垄断处）</dc:creator>
  <cp:lastModifiedBy>邱伟</cp:lastModifiedBy>
  <cp:lastPrinted>2024-08-01T17:27:00Z</cp:lastPrinted>
  <dcterms:modified xsi:type="dcterms:W3CDTF">2024-10-17T16:42:06Z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2F510BCF826C43248232D30198221AB7</vt:lpwstr>
  </property>
</Properties>
</file>