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after="240"/>
        <w:jc w:val="center"/>
        <w:rPr>
          <w:rFonts w:hint="default" w:ascii="Times New Roman" w:hAnsi="Times New Roman" w:eastAsia="黑体" w:cs="Times New Roman"/>
          <w:bCs/>
          <w:kern w:val="0"/>
          <w:sz w:val="44"/>
          <w:szCs w:val="44"/>
          <w:lang w:val="en-GB" w:bidi="ar-AE"/>
        </w:rPr>
      </w:pPr>
      <w:bookmarkStart w:id="0" w:name="_GoBack"/>
      <w:bookmarkEnd w:id="0"/>
      <w:r>
        <w:rPr>
          <w:rFonts w:hint="default" w:ascii="Times New Roman" w:hAnsi="Times New Roman" w:eastAsia="方正小标宋简体" w:cs="Times New Roman"/>
          <w:bCs/>
          <w:kern w:val="0"/>
          <w:sz w:val="44"/>
          <w:szCs w:val="44"/>
          <w:lang w:val="en-GB" w:bidi="ar-AE"/>
        </w:rPr>
        <w:t>经营者集中简易案件公示表</w:t>
      </w:r>
    </w:p>
    <w:tbl>
      <w:tblPr>
        <w:tblStyle w:val="12"/>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86" w:hRule="atLeast"/>
          <w:jc w:val="center"/>
        </w:trPr>
        <w:tc>
          <w:tcPr>
            <w:tcW w:w="1940" w:type="dxa"/>
            <w:shd w:val="clear" w:color="auto" w:fill="auto"/>
            <w:vAlign w:val="center"/>
          </w:tcPr>
          <w:p>
            <w:pPr>
              <w:pStyle w:val="7"/>
              <w:adjustRightInd w:val="0"/>
              <w:snapToGrid w:val="0"/>
              <w:spacing w:after="0"/>
              <w:jc w:val="center"/>
              <w:rPr>
                <w:rFonts w:ascii="宋体" w:hAnsi="宋体" w:cs="宋体"/>
                <w:b/>
                <w:bCs w:val="0"/>
                <w:color w:val="000000"/>
                <w:szCs w:val="21"/>
              </w:rPr>
            </w:pPr>
            <w:r>
              <w:rPr>
                <w:rFonts w:hint="eastAsia" w:ascii="宋体" w:hAnsi="宋体" w:cs="宋体"/>
                <w:b/>
                <w:bCs w:val="0"/>
                <w:color w:val="000000"/>
                <w:szCs w:val="21"/>
              </w:rPr>
              <w:t>案件名称</w:t>
            </w:r>
          </w:p>
        </w:tc>
        <w:tc>
          <w:tcPr>
            <w:tcW w:w="7700" w:type="dxa"/>
            <w:gridSpan w:val="2"/>
            <w:shd w:val="clear" w:color="auto" w:fill="auto"/>
            <w:vAlign w:val="center"/>
          </w:tcPr>
          <w:p>
            <w:pPr>
              <w:adjustRightInd w:val="0"/>
              <w:snapToGrid w:val="0"/>
              <w:rPr>
                <w:rFonts w:ascii="宋体" w:hAnsi="宋体" w:cs="宋体"/>
                <w:bCs/>
                <w:color w:val="000000"/>
                <w:szCs w:val="21"/>
              </w:rPr>
            </w:pPr>
            <w:r>
              <w:rPr>
                <w:rFonts w:hint="eastAsia" w:ascii="宋体" w:hAnsi="宋体" w:cs="宋体"/>
                <w:bCs/>
                <w:color w:val="000000"/>
                <w:szCs w:val="21"/>
              </w:rPr>
              <w:t>南网私募基金管理有限公司与广州城投佳朋产业投资基金管理有限公司新设合营企业案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69" w:hRule="atLeast"/>
          <w:jc w:val="center"/>
        </w:trPr>
        <w:tc>
          <w:tcPr>
            <w:tcW w:w="1940" w:type="dxa"/>
            <w:shd w:val="clear" w:color="auto" w:fill="auto"/>
            <w:vAlign w:val="center"/>
          </w:tcPr>
          <w:p>
            <w:pPr>
              <w:pStyle w:val="7"/>
              <w:adjustRightInd w:val="0"/>
              <w:snapToGrid w:val="0"/>
              <w:spacing w:after="0"/>
              <w:jc w:val="center"/>
              <w:rPr>
                <w:rFonts w:ascii="宋体" w:hAnsi="宋体" w:cs="宋体"/>
                <w:b/>
                <w:bCs w:val="0"/>
                <w:color w:val="000000"/>
                <w:szCs w:val="21"/>
              </w:rPr>
            </w:pPr>
            <w:r>
              <w:rPr>
                <w:rFonts w:hint="eastAsia" w:ascii="宋体" w:hAnsi="宋体" w:cs="宋体"/>
                <w:b/>
                <w:bCs w:val="0"/>
                <w:color w:val="000000"/>
                <w:szCs w:val="21"/>
              </w:rPr>
              <w:t>交易概况</w:t>
            </w:r>
          </w:p>
        </w:tc>
        <w:tc>
          <w:tcPr>
            <w:tcW w:w="7700" w:type="dxa"/>
            <w:gridSpan w:val="2"/>
            <w:shd w:val="clear" w:color="auto" w:fill="auto"/>
            <w:vAlign w:val="center"/>
          </w:tcPr>
          <w:p>
            <w:pPr>
              <w:adjustRightInd w:val="0"/>
              <w:snapToGrid w:val="0"/>
              <w:rPr>
                <w:rFonts w:ascii="宋体" w:hAnsi="宋体" w:cs="宋体"/>
                <w:bCs/>
                <w:color w:val="000000"/>
                <w:szCs w:val="21"/>
              </w:rPr>
            </w:pPr>
            <w:r>
              <w:rPr>
                <w:rFonts w:hint="eastAsia" w:ascii="宋体" w:hAnsi="宋体" w:cs="宋体"/>
                <w:bCs/>
                <w:color w:val="000000"/>
                <w:szCs w:val="21"/>
              </w:rPr>
              <w:t>南网私募基金管理有限公司（“</w:t>
            </w:r>
            <w:r>
              <w:rPr>
                <w:rFonts w:hint="eastAsia" w:ascii="宋体" w:hAnsi="宋体" w:cs="宋体"/>
                <w:bCs/>
                <w:color w:val="000000"/>
                <w:szCs w:val="21"/>
                <w:lang w:val="en-US" w:eastAsia="zh-CN"/>
              </w:rPr>
              <w:t>南网</w:t>
            </w:r>
            <w:r>
              <w:rPr>
                <w:rFonts w:hint="eastAsia" w:ascii="宋体" w:hAnsi="宋体" w:cs="宋体"/>
                <w:bCs/>
                <w:color w:val="000000"/>
                <w:szCs w:val="21"/>
              </w:rPr>
              <w:t>基金”）</w:t>
            </w:r>
            <w:r>
              <w:rPr>
                <w:rFonts w:hint="eastAsia" w:ascii="宋体" w:hAnsi="宋体" w:cs="宋体"/>
                <w:bCs/>
                <w:color w:val="000000"/>
                <w:szCs w:val="21"/>
                <w:lang w:val="en-US" w:eastAsia="zh-CN"/>
              </w:rPr>
              <w:t>与</w:t>
            </w:r>
            <w:r>
              <w:rPr>
                <w:rFonts w:hint="eastAsia" w:ascii="宋体" w:hAnsi="宋体" w:cs="宋体"/>
                <w:bCs/>
                <w:color w:val="000000"/>
                <w:szCs w:val="21"/>
              </w:rPr>
              <w:t>广州城投佳朋产业投资基金管理有限公司（“</w:t>
            </w:r>
            <w:r>
              <w:rPr>
                <w:rFonts w:hint="eastAsia" w:ascii="宋体" w:hAnsi="宋体" w:cs="宋体"/>
                <w:bCs/>
                <w:color w:val="000000"/>
                <w:szCs w:val="21"/>
                <w:lang w:val="en-US" w:eastAsia="zh-CN"/>
              </w:rPr>
              <w:t>佳朋基金</w:t>
            </w:r>
            <w:r>
              <w:rPr>
                <w:rFonts w:hint="eastAsia" w:ascii="宋体" w:hAnsi="宋体" w:cs="宋体"/>
                <w:bCs/>
                <w:color w:val="000000"/>
                <w:szCs w:val="21"/>
              </w:rPr>
              <w:t>”）签署</w:t>
            </w:r>
            <w:r>
              <w:rPr>
                <w:rFonts w:hint="eastAsia" w:ascii="宋体" w:hAnsi="宋体" w:cs="宋体"/>
                <w:bCs/>
                <w:color w:val="000000"/>
                <w:szCs w:val="21"/>
                <w:lang w:val="en-US" w:eastAsia="zh-CN"/>
              </w:rPr>
              <w:t>协议</w:t>
            </w:r>
            <w:r>
              <w:rPr>
                <w:rFonts w:hint="eastAsia" w:ascii="宋体" w:hAnsi="宋体" w:cs="宋体"/>
                <w:bCs/>
                <w:color w:val="000000"/>
                <w:szCs w:val="21"/>
              </w:rPr>
              <w:t>，拟共同新设一家合营企业。合营企业将主要从事私募股权投资基金业务。交易后，南网基金和</w:t>
            </w:r>
            <w:r>
              <w:rPr>
                <w:rFonts w:hint="eastAsia" w:ascii="宋体" w:hAnsi="宋体" w:cs="宋体"/>
                <w:bCs/>
                <w:color w:val="000000"/>
                <w:szCs w:val="21"/>
                <w:lang w:val="en-US" w:eastAsia="zh-CN"/>
              </w:rPr>
              <w:t>佳朋基金作为合营企业的普通合伙人</w:t>
            </w:r>
            <w:r>
              <w:rPr>
                <w:rFonts w:hint="eastAsia" w:ascii="宋体" w:hAnsi="宋体" w:cs="宋体"/>
                <w:bCs/>
                <w:color w:val="000000"/>
                <w:szCs w:val="21"/>
              </w:rPr>
              <w:t>将分别持有合营企业0.</w:t>
            </w:r>
            <w:r>
              <w:rPr>
                <w:rFonts w:hint="eastAsia" w:ascii="宋体" w:hAnsi="宋体" w:cs="宋体"/>
                <w:bCs/>
                <w:color w:val="000000"/>
                <w:szCs w:val="21"/>
                <w:lang w:val="en-US" w:eastAsia="zh-CN"/>
              </w:rPr>
              <w:t>08</w:t>
            </w:r>
            <w:r>
              <w:rPr>
                <w:rFonts w:hint="eastAsia" w:ascii="宋体" w:hAnsi="宋体" w:cs="宋体"/>
                <w:bCs/>
                <w:color w:val="000000"/>
                <w:szCs w:val="21"/>
              </w:rPr>
              <w:t>%、</w:t>
            </w:r>
            <w:r>
              <w:rPr>
                <w:rFonts w:ascii="宋体" w:hAnsi="宋体" w:cs="宋体"/>
                <w:bCs/>
                <w:color w:val="000000"/>
                <w:szCs w:val="21"/>
              </w:rPr>
              <w:t>0</w:t>
            </w:r>
            <w:r>
              <w:rPr>
                <w:rFonts w:hint="eastAsia" w:ascii="宋体" w:hAnsi="宋体" w:cs="宋体"/>
                <w:bCs/>
                <w:color w:val="000000"/>
                <w:szCs w:val="21"/>
              </w:rPr>
              <w:t>.</w:t>
            </w:r>
            <w:r>
              <w:rPr>
                <w:rFonts w:hint="eastAsia" w:ascii="宋体" w:hAnsi="宋体" w:cs="宋体"/>
                <w:bCs/>
                <w:color w:val="000000"/>
                <w:szCs w:val="21"/>
                <w:lang w:val="en-US" w:eastAsia="zh-CN"/>
              </w:rPr>
              <w:t>08</w:t>
            </w:r>
            <w:r>
              <w:rPr>
                <w:rFonts w:hint="eastAsia" w:ascii="宋体" w:hAnsi="宋体" w:cs="宋体"/>
                <w:bCs/>
                <w:color w:val="000000"/>
                <w:szCs w:val="21"/>
              </w:rPr>
              <w:t>%的合伙份额，并共同控制合营企业。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177" w:hRule="atLeast"/>
          <w:jc w:val="center"/>
        </w:trPr>
        <w:tc>
          <w:tcPr>
            <w:tcW w:w="1940" w:type="dxa"/>
            <w:vMerge w:val="restart"/>
            <w:shd w:val="clear" w:color="auto" w:fill="auto"/>
            <w:vAlign w:val="center"/>
          </w:tcPr>
          <w:p>
            <w:pPr>
              <w:pStyle w:val="7"/>
              <w:adjustRightInd w:val="0"/>
              <w:snapToGrid w:val="0"/>
              <w:spacing w:after="0"/>
              <w:jc w:val="center"/>
              <w:rPr>
                <w:rFonts w:ascii="宋体" w:hAnsi="宋体" w:cs="宋体"/>
                <w:b/>
                <w:bCs w:val="0"/>
                <w:color w:val="000000"/>
                <w:szCs w:val="21"/>
              </w:rPr>
            </w:pPr>
            <w:r>
              <w:rPr>
                <w:rFonts w:hint="eastAsia" w:ascii="宋体" w:hAnsi="宋体" w:cs="宋体"/>
                <w:b/>
                <w:bCs w:val="0"/>
                <w:color w:val="000000"/>
                <w:szCs w:val="21"/>
              </w:rPr>
              <w:t>参与集中的经营者简介</w:t>
            </w:r>
          </w:p>
        </w:tc>
        <w:tc>
          <w:tcPr>
            <w:tcW w:w="1607" w:type="dxa"/>
            <w:shd w:val="clear" w:color="auto" w:fill="auto"/>
            <w:vAlign w:val="center"/>
          </w:tcPr>
          <w:p>
            <w:pPr>
              <w:pStyle w:val="7"/>
              <w:adjustRightInd w:val="0"/>
              <w:snapToGrid w:val="0"/>
              <w:spacing w:after="0"/>
              <w:rPr>
                <w:rFonts w:ascii="宋体" w:hAnsi="宋体" w:cs="宋体"/>
                <w:bCs/>
                <w:color w:val="000000"/>
                <w:szCs w:val="21"/>
              </w:rPr>
            </w:pPr>
            <w:r>
              <w:rPr>
                <w:rFonts w:hint="eastAsia" w:ascii="宋体" w:hAnsi="宋体" w:cs="宋体"/>
                <w:bCs/>
                <w:color w:val="000000"/>
                <w:szCs w:val="21"/>
                <w:lang w:val="en-US" w:eastAsia="zh-CN"/>
              </w:rPr>
              <w:t>1</w:t>
            </w:r>
            <w:r>
              <w:rPr>
                <w:rFonts w:ascii="宋体" w:hAnsi="宋体" w:cs="宋体"/>
                <w:bCs/>
                <w:color w:val="000000"/>
                <w:szCs w:val="21"/>
              </w:rPr>
              <w:t>.</w:t>
            </w:r>
            <w:r>
              <w:rPr>
                <w:rFonts w:hint="eastAsia" w:ascii="宋体" w:hAnsi="宋体" w:cs="宋体"/>
                <w:bCs/>
                <w:color w:val="000000"/>
                <w:szCs w:val="21"/>
              </w:rPr>
              <w:t>南网基金</w:t>
            </w:r>
          </w:p>
        </w:tc>
        <w:tc>
          <w:tcPr>
            <w:tcW w:w="6093" w:type="dxa"/>
            <w:shd w:val="clear" w:color="auto" w:fill="auto"/>
            <w:vAlign w:val="center"/>
          </w:tcPr>
          <w:p>
            <w:pPr>
              <w:pStyle w:val="7"/>
              <w:adjustRightInd w:val="0"/>
              <w:snapToGrid w:val="0"/>
              <w:spacing w:after="0"/>
              <w:rPr>
                <w:rFonts w:ascii="宋体" w:hAnsi="宋体" w:cs="宋体"/>
                <w:bCs/>
                <w:color w:val="000000"/>
                <w:szCs w:val="21"/>
              </w:rPr>
            </w:pPr>
            <w:r>
              <w:rPr>
                <w:rFonts w:hint="eastAsia" w:ascii="宋体" w:hAnsi="宋体" w:cs="宋体"/>
                <w:bCs/>
                <w:color w:val="000000"/>
                <w:szCs w:val="21"/>
              </w:rPr>
              <w:t>南网基金于20</w:t>
            </w:r>
            <w:r>
              <w:rPr>
                <w:rFonts w:ascii="宋体" w:hAnsi="宋体" w:cs="宋体"/>
                <w:bCs/>
                <w:color w:val="000000"/>
                <w:szCs w:val="21"/>
              </w:rPr>
              <w:t>23</w:t>
            </w:r>
            <w:r>
              <w:rPr>
                <w:rFonts w:hint="eastAsia" w:ascii="宋体" w:hAnsi="宋体" w:cs="宋体"/>
                <w:bCs/>
                <w:color w:val="000000"/>
                <w:szCs w:val="21"/>
              </w:rPr>
              <w:t>年</w:t>
            </w:r>
            <w:r>
              <w:rPr>
                <w:rFonts w:ascii="宋体" w:hAnsi="宋体" w:cs="宋体"/>
                <w:bCs/>
                <w:color w:val="000000"/>
                <w:szCs w:val="21"/>
              </w:rPr>
              <w:t>6</w:t>
            </w:r>
            <w:r>
              <w:rPr>
                <w:rFonts w:hint="eastAsia" w:ascii="宋体" w:hAnsi="宋体" w:cs="宋体"/>
                <w:bCs/>
                <w:color w:val="000000"/>
                <w:szCs w:val="21"/>
              </w:rPr>
              <w:t>月</w:t>
            </w:r>
            <w:r>
              <w:rPr>
                <w:rFonts w:ascii="宋体" w:hAnsi="宋体" w:cs="宋体"/>
                <w:bCs/>
                <w:color w:val="000000"/>
                <w:szCs w:val="21"/>
              </w:rPr>
              <w:t>29</w:t>
            </w:r>
            <w:r>
              <w:rPr>
                <w:rFonts w:hint="eastAsia" w:ascii="宋体" w:hAnsi="宋体" w:cs="宋体"/>
                <w:bCs/>
                <w:color w:val="000000"/>
                <w:szCs w:val="21"/>
              </w:rPr>
              <w:t>日成立于广东省广州市，主要从事私募股权投资基金管理业务。</w:t>
            </w:r>
          </w:p>
          <w:p>
            <w:pPr>
              <w:pStyle w:val="7"/>
              <w:adjustRightInd w:val="0"/>
              <w:snapToGrid w:val="0"/>
              <w:spacing w:after="0"/>
              <w:rPr>
                <w:rFonts w:ascii="宋体" w:hAnsi="宋体" w:cs="宋体"/>
                <w:bCs/>
                <w:color w:val="000000"/>
                <w:szCs w:val="21"/>
              </w:rPr>
            </w:pPr>
            <w:r>
              <w:rPr>
                <w:rFonts w:hint="eastAsia" w:ascii="宋体" w:hAnsi="宋体" w:cs="宋体"/>
                <w:bCs/>
                <w:color w:val="000000"/>
                <w:szCs w:val="21"/>
              </w:rPr>
              <w:t>南网基金的</w:t>
            </w:r>
            <w:r>
              <w:rPr>
                <w:rFonts w:hint="eastAsia" w:ascii="宋体" w:hAnsi="宋体" w:cs="宋体"/>
                <w:szCs w:val="21"/>
                <w:lang w:bidi="ar"/>
              </w:rPr>
              <w:t>最终控制人为中国南方电网有限责任公司，主要从事南方五省区电力供应、区域电网管理、电力交易与调度业务。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1940" w:type="dxa"/>
            <w:vMerge w:val="continue"/>
            <w:shd w:val="clear" w:color="auto" w:fill="auto"/>
            <w:vAlign w:val="center"/>
          </w:tcPr>
          <w:p>
            <w:pPr>
              <w:pStyle w:val="7"/>
              <w:adjustRightInd w:val="0"/>
              <w:snapToGrid w:val="0"/>
              <w:spacing w:after="0"/>
              <w:jc w:val="center"/>
              <w:rPr>
                <w:rFonts w:ascii="宋体" w:hAnsi="宋体" w:cs="宋体"/>
                <w:b/>
                <w:bCs w:val="0"/>
                <w:color w:val="000000"/>
                <w:szCs w:val="21"/>
              </w:rPr>
            </w:pPr>
          </w:p>
        </w:tc>
        <w:tc>
          <w:tcPr>
            <w:tcW w:w="1607" w:type="dxa"/>
            <w:shd w:val="clear" w:color="auto" w:fill="auto"/>
            <w:vAlign w:val="center"/>
          </w:tcPr>
          <w:p>
            <w:pPr>
              <w:pStyle w:val="7"/>
              <w:adjustRightInd w:val="0"/>
              <w:snapToGrid w:val="0"/>
              <w:spacing w:after="0"/>
              <w:rPr>
                <w:rFonts w:hint="default" w:ascii="宋体" w:hAnsi="宋体" w:eastAsia="宋体" w:cs="宋体"/>
                <w:bCs/>
                <w:color w:val="000000"/>
                <w:szCs w:val="21"/>
                <w:lang w:val="en-US" w:eastAsia="zh-CN"/>
              </w:rPr>
            </w:pPr>
            <w:r>
              <w:rPr>
                <w:rFonts w:hint="eastAsia" w:ascii="宋体" w:hAnsi="宋体" w:cs="宋体"/>
                <w:bCs/>
                <w:color w:val="000000"/>
                <w:szCs w:val="21"/>
                <w:lang w:val="en-US" w:eastAsia="zh-CN"/>
              </w:rPr>
              <w:t>2</w:t>
            </w:r>
            <w:r>
              <w:rPr>
                <w:rFonts w:hint="eastAsia" w:ascii="宋体" w:hAnsi="宋体" w:cs="宋体"/>
                <w:bCs/>
                <w:color w:val="000000"/>
                <w:szCs w:val="21"/>
              </w:rPr>
              <w:t>.</w:t>
            </w:r>
            <w:r>
              <w:rPr>
                <w:rFonts w:hint="eastAsia" w:ascii="宋体" w:hAnsi="宋体" w:cs="宋体"/>
                <w:bCs/>
                <w:color w:val="000000"/>
                <w:szCs w:val="21"/>
                <w:lang w:val="en-US" w:eastAsia="zh-CN"/>
              </w:rPr>
              <w:t>佳朋基金</w:t>
            </w:r>
          </w:p>
          <w:p>
            <w:pPr>
              <w:pStyle w:val="7"/>
              <w:adjustRightInd w:val="0"/>
              <w:snapToGrid w:val="0"/>
              <w:spacing w:after="0"/>
              <w:rPr>
                <w:rFonts w:ascii="宋体" w:hAnsi="宋体" w:cs="宋体"/>
                <w:bCs/>
                <w:color w:val="000000"/>
                <w:szCs w:val="21"/>
              </w:rPr>
            </w:pPr>
          </w:p>
        </w:tc>
        <w:tc>
          <w:tcPr>
            <w:tcW w:w="6093" w:type="dxa"/>
            <w:shd w:val="clear" w:color="auto" w:fill="auto"/>
            <w:vAlign w:val="center"/>
          </w:tcPr>
          <w:p>
            <w:pPr>
              <w:pStyle w:val="7"/>
              <w:adjustRightInd w:val="0"/>
              <w:snapToGrid w:val="0"/>
              <w:spacing w:after="0"/>
              <w:rPr>
                <w:rFonts w:ascii="宋体" w:hAnsi="宋体" w:cs="宋体"/>
                <w:bCs/>
                <w:color w:val="000000"/>
                <w:szCs w:val="21"/>
              </w:rPr>
            </w:pPr>
            <w:r>
              <w:rPr>
                <w:rFonts w:hint="eastAsia" w:ascii="宋体" w:hAnsi="宋体" w:cs="宋体"/>
                <w:bCs/>
                <w:color w:val="000000"/>
                <w:szCs w:val="21"/>
                <w:lang w:val="en-US" w:eastAsia="zh-CN"/>
              </w:rPr>
              <w:t>佳朋基金</w:t>
            </w:r>
            <w:r>
              <w:rPr>
                <w:rFonts w:hint="eastAsia" w:ascii="宋体" w:hAnsi="宋体" w:cs="宋体"/>
                <w:bCs/>
                <w:color w:val="000000"/>
                <w:szCs w:val="21"/>
              </w:rPr>
              <w:t>于</w:t>
            </w:r>
            <w:r>
              <w:rPr>
                <w:rFonts w:hint="eastAsia" w:ascii="宋体" w:hAnsi="宋体" w:cs="宋体"/>
                <w:bCs/>
                <w:color w:val="000000"/>
                <w:szCs w:val="21"/>
                <w:lang w:val="en-US" w:eastAsia="zh-CN"/>
              </w:rPr>
              <w:t>2015</w:t>
            </w:r>
            <w:r>
              <w:rPr>
                <w:rFonts w:hint="eastAsia" w:ascii="宋体" w:hAnsi="宋体" w:cs="宋体"/>
                <w:bCs/>
                <w:color w:val="000000"/>
                <w:szCs w:val="21"/>
              </w:rPr>
              <w:t>年</w:t>
            </w:r>
            <w:r>
              <w:rPr>
                <w:rFonts w:ascii="宋体" w:hAnsi="宋体" w:cs="宋体"/>
                <w:bCs/>
                <w:color w:val="000000"/>
                <w:szCs w:val="21"/>
              </w:rPr>
              <w:t>2</w:t>
            </w:r>
            <w:r>
              <w:rPr>
                <w:rFonts w:hint="eastAsia" w:ascii="宋体" w:hAnsi="宋体" w:cs="宋体"/>
                <w:bCs/>
                <w:color w:val="000000"/>
                <w:szCs w:val="21"/>
              </w:rPr>
              <w:t>月</w:t>
            </w:r>
            <w:r>
              <w:rPr>
                <w:rFonts w:hint="eastAsia" w:ascii="宋体" w:hAnsi="宋体" w:cs="宋体"/>
                <w:bCs/>
                <w:color w:val="000000"/>
                <w:szCs w:val="21"/>
                <w:lang w:val="en-US" w:eastAsia="zh-CN"/>
              </w:rPr>
              <w:t>9</w:t>
            </w:r>
            <w:r>
              <w:rPr>
                <w:rFonts w:hint="eastAsia" w:ascii="宋体" w:hAnsi="宋体" w:cs="宋体"/>
                <w:bCs/>
                <w:color w:val="000000"/>
                <w:szCs w:val="21"/>
              </w:rPr>
              <w:t>日成立于广东省广州市，主要从事私募股权投资基金管理业务。</w:t>
            </w:r>
          </w:p>
          <w:p>
            <w:pPr>
              <w:adjustRightInd w:val="0"/>
              <w:snapToGrid w:val="0"/>
              <w:rPr>
                <w:rFonts w:ascii="宋体" w:hAnsi="宋体" w:cs="宋体"/>
                <w:bCs/>
                <w:color w:val="000000"/>
                <w:szCs w:val="21"/>
              </w:rPr>
            </w:pPr>
            <w:r>
              <w:rPr>
                <w:rFonts w:hint="eastAsia" w:ascii="宋体" w:hAnsi="宋体" w:cs="宋体"/>
                <w:bCs/>
                <w:color w:val="000000"/>
                <w:szCs w:val="21"/>
                <w:lang w:val="en-US" w:eastAsia="zh-CN"/>
              </w:rPr>
              <w:t>佳朋基金</w:t>
            </w:r>
            <w:r>
              <w:rPr>
                <w:rFonts w:hint="eastAsia" w:ascii="宋体" w:hAnsi="宋体" w:cs="宋体"/>
                <w:bCs/>
                <w:color w:val="000000"/>
                <w:szCs w:val="21"/>
              </w:rPr>
              <w:t>的最终控制人为广州市城市建设投资集团有限公司</w:t>
            </w:r>
            <w:r>
              <w:rPr>
                <w:rFonts w:hint="eastAsia" w:ascii="宋体" w:hAnsi="宋体" w:cs="宋体"/>
                <w:bCs/>
                <w:color w:val="000000"/>
                <w:szCs w:val="21"/>
                <w:lang w:eastAsia="zh-CN"/>
              </w:rPr>
              <w:t>，</w:t>
            </w:r>
            <w:r>
              <w:rPr>
                <w:rFonts w:hint="eastAsia" w:ascii="宋体" w:hAnsi="宋体" w:cs="宋体"/>
                <w:bCs/>
                <w:color w:val="000000"/>
                <w:szCs w:val="21"/>
              </w:rPr>
              <w:t>主要从事资产经营、房地产开发、金融和贸易业务。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81" w:hRule="atLeast"/>
          <w:jc w:val="center"/>
        </w:trPr>
        <w:tc>
          <w:tcPr>
            <w:tcW w:w="1940" w:type="dxa"/>
            <w:vMerge w:val="restart"/>
            <w:shd w:val="clear" w:color="auto" w:fill="auto"/>
            <w:vAlign w:val="center"/>
          </w:tcPr>
          <w:p>
            <w:pPr>
              <w:pStyle w:val="7"/>
              <w:adjustRightInd w:val="0"/>
              <w:snapToGrid w:val="0"/>
              <w:spacing w:after="0"/>
              <w:jc w:val="center"/>
              <w:rPr>
                <w:rFonts w:ascii="宋体" w:hAnsi="宋体" w:cs="宋体"/>
                <w:b/>
                <w:bCs w:val="0"/>
                <w:color w:val="000000"/>
                <w:szCs w:val="21"/>
              </w:rPr>
            </w:pPr>
            <w:r>
              <w:rPr>
                <w:rFonts w:hint="eastAsia" w:ascii="宋体" w:hAnsi="宋体" w:cs="宋体"/>
                <w:b/>
                <w:bCs w:val="0"/>
                <w:color w:val="000000"/>
                <w:szCs w:val="21"/>
              </w:rPr>
              <w:t>简易案件理由</w:t>
            </w:r>
          </w:p>
        </w:tc>
        <w:tc>
          <w:tcPr>
            <w:tcW w:w="7700" w:type="dxa"/>
            <w:gridSpan w:val="2"/>
            <w:shd w:val="clear" w:color="auto" w:fill="auto"/>
            <w:vAlign w:val="center"/>
          </w:tcPr>
          <w:p>
            <w:pPr>
              <w:pStyle w:val="7"/>
              <w:adjustRightInd w:val="0"/>
              <w:snapToGrid w:val="0"/>
              <w:spacing w:after="0"/>
              <w:rPr>
                <w:rFonts w:ascii="宋体" w:hAnsi="宋体" w:cs="宋体"/>
                <w:bCs/>
                <w:color w:val="000000"/>
                <w:szCs w:val="21"/>
              </w:rPr>
            </w:pPr>
            <w:r>
              <w:rPr>
                <w:rFonts w:hint="eastAsia" w:ascii="宋体" w:hAnsi="宋体" w:cs="宋体"/>
                <w:bCs/>
                <w:color w:val="000000"/>
                <w:szCs w:val="21"/>
              </w:rPr>
              <w:sym w:font="Wingdings" w:char="00FE"/>
            </w:r>
            <w:r>
              <w:rPr>
                <w:rFonts w:hint="eastAsia" w:ascii="宋体" w:hAnsi="宋体" w:cs="宋体"/>
                <w:bCs/>
                <w:color w:val="000000"/>
                <w:szCs w:val="21"/>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jc w:val="center"/>
        </w:trPr>
        <w:tc>
          <w:tcPr>
            <w:tcW w:w="1940" w:type="dxa"/>
            <w:vMerge w:val="continue"/>
            <w:shd w:val="clear" w:color="auto" w:fill="auto"/>
            <w:vAlign w:val="center"/>
          </w:tcPr>
          <w:p>
            <w:pPr>
              <w:pStyle w:val="7"/>
              <w:adjustRightInd w:val="0"/>
              <w:snapToGrid w:val="0"/>
              <w:spacing w:after="0"/>
              <w:jc w:val="center"/>
              <w:rPr>
                <w:rFonts w:ascii="宋体" w:hAnsi="宋体" w:cs="宋体"/>
                <w:b/>
                <w:bCs w:val="0"/>
                <w:color w:val="000000"/>
                <w:szCs w:val="21"/>
              </w:rPr>
            </w:pPr>
          </w:p>
        </w:tc>
        <w:tc>
          <w:tcPr>
            <w:tcW w:w="7700" w:type="dxa"/>
            <w:gridSpan w:val="2"/>
            <w:shd w:val="clear" w:color="auto" w:fill="auto"/>
            <w:vAlign w:val="center"/>
          </w:tcPr>
          <w:p>
            <w:pPr>
              <w:pStyle w:val="7"/>
              <w:adjustRightInd w:val="0"/>
              <w:snapToGrid w:val="0"/>
              <w:spacing w:after="0"/>
              <w:rPr>
                <w:rFonts w:ascii="宋体" w:hAnsi="宋体" w:cs="宋体"/>
                <w:bCs/>
                <w:color w:val="000000"/>
                <w:szCs w:val="21"/>
              </w:rPr>
            </w:pPr>
            <w:r>
              <w:rPr>
                <w:rFonts w:hint="eastAsia" w:ascii="宋体" w:hAnsi="宋体" w:cs="宋体"/>
                <w:bCs/>
                <w:color w:val="000000"/>
                <w:szCs w:val="21"/>
              </w:rPr>
              <w:sym w:font="Wingdings" w:char="00A8"/>
            </w:r>
            <w:r>
              <w:rPr>
                <w:rFonts w:hint="eastAsia" w:ascii="宋体" w:hAnsi="宋体" w:cs="宋体"/>
                <w:bCs/>
                <w:color w:val="000000"/>
                <w:szCs w:val="21"/>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jc w:val="center"/>
        </w:trPr>
        <w:tc>
          <w:tcPr>
            <w:tcW w:w="1940" w:type="dxa"/>
            <w:vMerge w:val="continue"/>
            <w:shd w:val="clear" w:color="auto" w:fill="auto"/>
            <w:vAlign w:val="center"/>
          </w:tcPr>
          <w:p>
            <w:pPr>
              <w:pStyle w:val="7"/>
              <w:adjustRightInd w:val="0"/>
              <w:snapToGrid w:val="0"/>
              <w:spacing w:after="0"/>
              <w:jc w:val="center"/>
              <w:rPr>
                <w:rFonts w:ascii="宋体" w:hAnsi="宋体" w:cs="宋体"/>
                <w:b/>
                <w:bCs w:val="0"/>
                <w:color w:val="000000"/>
                <w:szCs w:val="21"/>
              </w:rPr>
            </w:pPr>
          </w:p>
        </w:tc>
        <w:tc>
          <w:tcPr>
            <w:tcW w:w="7700" w:type="dxa"/>
            <w:gridSpan w:val="2"/>
            <w:shd w:val="clear" w:color="auto" w:fill="auto"/>
            <w:vAlign w:val="center"/>
          </w:tcPr>
          <w:p>
            <w:pPr>
              <w:pStyle w:val="7"/>
              <w:adjustRightInd w:val="0"/>
              <w:snapToGrid w:val="0"/>
              <w:spacing w:after="0"/>
              <w:rPr>
                <w:rFonts w:ascii="宋体" w:hAnsi="宋体" w:cs="宋体"/>
                <w:bCs/>
                <w:color w:val="000000"/>
                <w:szCs w:val="21"/>
              </w:rPr>
            </w:pPr>
            <w:r>
              <w:rPr>
                <w:rFonts w:hint="eastAsia" w:ascii="宋体" w:hAnsi="宋体" w:cs="宋体"/>
                <w:bCs/>
                <w:color w:val="000000"/>
                <w:szCs w:val="21"/>
              </w:rPr>
              <w:sym w:font="Wingdings" w:char="00A8"/>
            </w:r>
            <w:r>
              <w:rPr>
                <w:rFonts w:hint="eastAsia" w:ascii="宋体" w:hAnsi="宋体" w:cs="宋体"/>
                <w:bCs/>
                <w:color w:val="000000"/>
                <w:szCs w:val="21"/>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jc w:val="center"/>
        </w:trPr>
        <w:tc>
          <w:tcPr>
            <w:tcW w:w="1940" w:type="dxa"/>
            <w:vMerge w:val="continue"/>
            <w:shd w:val="clear" w:color="auto" w:fill="auto"/>
            <w:vAlign w:val="center"/>
          </w:tcPr>
          <w:p>
            <w:pPr>
              <w:pStyle w:val="7"/>
              <w:adjustRightInd w:val="0"/>
              <w:snapToGrid w:val="0"/>
              <w:spacing w:after="0"/>
              <w:jc w:val="center"/>
              <w:rPr>
                <w:rFonts w:ascii="宋体" w:hAnsi="宋体" w:cs="宋体"/>
                <w:b/>
                <w:bCs w:val="0"/>
                <w:color w:val="000000"/>
                <w:szCs w:val="21"/>
              </w:rPr>
            </w:pPr>
          </w:p>
        </w:tc>
        <w:tc>
          <w:tcPr>
            <w:tcW w:w="7700" w:type="dxa"/>
            <w:gridSpan w:val="2"/>
            <w:shd w:val="clear" w:color="auto" w:fill="auto"/>
            <w:vAlign w:val="center"/>
          </w:tcPr>
          <w:p>
            <w:pPr>
              <w:pStyle w:val="7"/>
              <w:adjustRightInd w:val="0"/>
              <w:snapToGrid w:val="0"/>
              <w:spacing w:after="0"/>
              <w:rPr>
                <w:rFonts w:ascii="宋体" w:hAnsi="宋体" w:cs="宋体"/>
                <w:bCs/>
                <w:color w:val="000000"/>
                <w:szCs w:val="21"/>
              </w:rPr>
            </w:pPr>
            <w:r>
              <w:rPr>
                <w:rFonts w:hint="eastAsia" w:ascii="宋体" w:hAnsi="宋体" w:cs="宋体"/>
                <w:bCs/>
                <w:color w:val="000000"/>
                <w:szCs w:val="21"/>
              </w:rPr>
              <w:sym w:font="Wingdings" w:char="00A8"/>
            </w:r>
            <w:r>
              <w:rPr>
                <w:rFonts w:hint="eastAsia" w:ascii="宋体" w:hAnsi="宋体" w:cs="宋体"/>
                <w:bCs/>
                <w:color w:val="000000"/>
                <w:szCs w:val="21"/>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jc w:val="center"/>
        </w:trPr>
        <w:tc>
          <w:tcPr>
            <w:tcW w:w="1940" w:type="dxa"/>
            <w:vMerge w:val="continue"/>
            <w:shd w:val="clear" w:color="auto" w:fill="auto"/>
            <w:vAlign w:val="center"/>
          </w:tcPr>
          <w:p>
            <w:pPr>
              <w:pStyle w:val="7"/>
              <w:adjustRightInd w:val="0"/>
              <w:snapToGrid w:val="0"/>
              <w:spacing w:after="0"/>
              <w:jc w:val="center"/>
              <w:rPr>
                <w:rFonts w:ascii="宋体" w:hAnsi="宋体" w:cs="宋体"/>
                <w:b/>
                <w:bCs w:val="0"/>
                <w:color w:val="000000"/>
                <w:szCs w:val="21"/>
              </w:rPr>
            </w:pPr>
          </w:p>
        </w:tc>
        <w:tc>
          <w:tcPr>
            <w:tcW w:w="7700" w:type="dxa"/>
            <w:gridSpan w:val="2"/>
            <w:shd w:val="clear" w:color="auto" w:fill="auto"/>
            <w:vAlign w:val="center"/>
          </w:tcPr>
          <w:p>
            <w:pPr>
              <w:pStyle w:val="7"/>
              <w:adjustRightInd w:val="0"/>
              <w:snapToGrid w:val="0"/>
              <w:spacing w:after="0"/>
              <w:rPr>
                <w:rFonts w:ascii="宋体" w:hAnsi="宋体" w:cs="宋体"/>
                <w:bCs/>
                <w:color w:val="000000"/>
                <w:szCs w:val="21"/>
              </w:rPr>
            </w:pPr>
            <w:r>
              <w:rPr>
                <w:rFonts w:hint="eastAsia" w:ascii="宋体" w:hAnsi="宋体" w:cs="宋体"/>
                <w:bCs/>
                <w:color w:val="000000"/>
                <w:szCs w:val="21"/>
              </w:rPr>
              <w:sym w:font="Wingdings" w:char="00A8"/>
            </w:r>
            <w:r>
              <w:rPr>
                <w:rFonts w:hint="eastAsia" w:ascii="宋体" w:hAnsi="宋体" w:cs="宋体"/>
                <w:bCs/>
                <w:color w:val="000000"/>
                <w:szCs w:val="21"/>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jc w:val="center"/>
        </w:trPr>
        <w:tc>
          <w:tcPr>
            <w:tcW w:w="1940" w:type="dxa"/>
            <w:vMerge w:val="continue"/>
            <w:shd w:val="clear" w:color="auto" w:fill="auto"/>
            <w:vAlign w:val="center"/>
          </w:tcPr>
          <w:p>
            <w:pPr>
              <w:pStyle w:val="7"/>
              <w:adjustRightInd w:val="0"/>
              <w:snapToGrid w:val="0"/>
              <w:spacing w:after="0"/>
              <w:jc w:val="center"/>
              <w:rPr>
                <w:rFonts w:ascii="宋体" w:hAnsi="宋体" w:cs="宋体"/>
                <w:b/>
                <w:bCs w:val="0"/>
                <w:color w:val="000000"/>
                <w:szCs w:val="21"/>
              </w:rPr>
            </w:pPr>
          </w:p>
        </w:tc>
        <w:tc>
          <w:tcPr>
            <w:tcW w:w="7700" w:type="dxa"/>
            <w:gridSpan w:val="2"/>
            <w:shd w:val="clear" w:color="auto" w:fill="auto"/>
            <w:vAlign w:val="center"/>
          </w:tcPr>
          <w:p>
            <w:pPr>
              <w:pStyle w:val="7"/>
              <w:adjustRightInd w:val="0"/>
              <w:snapToGrid w:val="0"/>
              <w:spacing w:after="0"/>
              <w:rPr>
                <w:rFonts w:ascii="宋体" w:hAnsi="宋体" w:cs="宋体"/>
                <w:bCs/>
                <w:color w:val="000000"/>
                <w:szCs w:val="21"/>
              </w:rPr>
            </w:pPr>
            <w:r>
              <w:rPr>
                <w:rFonts w:hint="eastAsia" w:ascii="宋体" w:hAnsi="宋体" w:cs="宋体"/>
                <w:bCs/>
                <w:color w:val="000000"/>
                <w:szCs w:val="21"/>
              </w:rPr>
              <w:sym w:font="Wingdings" w:char="00A8"/>
            </w:r>
            <w:r>
              <w:rPr>
                <w:rFonts w:hint="eastAsia" w:ascii="宋体" w:hAnsi="宋体" w:cs="宋体"/>
                <w:bCs/>
                <w:color w:val="000000"/>
                <w:szCs w:val="21"/>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40" w:type="dxa"/>
            <w:shd w:val="clear" w:color="auto" w:fill="auto"/>
            <w:vAlign w:val="center"/>
          </w:tcPr>
          <w:p>
            <w:pPr>
              <w:pStyle w:val="7"/>
              <w:adjustRightInd w:val="0"/>
              <w:snapToGrid w:val="0"/>
              <w:spacing w:after="0"/>
              <w:jc w:val="center"/>
              <w:rPr>
                <w:rFonts w:ascii="宋体" w:hAnsi="宋体" w:cs="宋体"/>
                <w:b/>
                <w:bCs w:val="0"/>
                <w:color w:val="000000"/>
                <w:szCs w:val="21"/>
              </w:rPr>
            </w:pPr>
            <w:r>
              <w:rPr>
                <w:rFonts w:hint="eastAsia" w:ascii="宋体" w:hAnsi="宋体" w:cs="宋体"/>
                <w:b/>
                <w:bCs w:val="0"/>
                <w:color w:val="000000"/>
                <w:szCs w:val="21"/>
              </w:rPr>
              <w:t>备注</w:t>
            </w:r>
          </w:p>
        </w:tc>
        <w:tc>
          <w:tcPr>
            <w:tcW w:w="7700" w:type="dxa"/>
            <w:gridSpan w:val="2"/>
            <w:shd w:val="clear" w:color="auto" w:fill="auto"/>
            <w:vAlign w:val="center"/>
          </w:tcPr>
          <w:p>
            <w:pPr>
              <w:pStyle w:val="7"/>
              <w:adjustRightInd w:val="0"/>
              <w:snapToGrid w:val="0"/>
              <w:spacing w:after="0"/>
              <w:rPr>
                <w:rFonts w:ascii="宋体" w:hAnsi="宋体" w:cs="宋体"/>
                <w:b/>
                <w:color w:val="000000"/>
                <w:szCs w:val="21"/>
              </w:rPr>
            </w:pPr>
            <w:r>
              <w:rPr>
                <w:rFonts w:hint="eastAsia" w:ascii="宋体" w:hAnsi="宋体" w:cs="宋体"/>
                <w:b/>
                <w:color w:val="000000"/>
                <w:szCs w:val="21"/>
              </w:rPr>
              <w:t>横向重叠：</w:t>
            </w:r>
          </w:p>
          <w:p>
            <w:pPr>
              <w:pStyle w:val="7"/>
              <w:adjustRightInd w:val="0"/>
              <w:snapToGrid w:val="0"/>
              <w:spacing w:after="0"/>
              <w:rPr>
                <w:rFonts w:ascii="宋体" w:hAnsi="宋体" w:cs="宋体"/>
                <w:bCs/>
                <w:color w:val="000000"/>
                <w:szCs w:val="21"/>
              </w:rPr>
            </w:pPr>
            <w:r>
              <w:rPr>
                <w:rFonts w:hint="eastAsia" w:ascii="宋体" w:hAnsi="宋体" w:cs="宋体"/>
                <w:bCs/>
                <w:color w:val="000000"/>
                <w:szCs w:val="21"/>
              </w:rPr>
              <w:t>202</w:t>
            </w:r>
            <w:r>
              <w:rPr>
                <w:rFonts w:hint="eastAsia" w:ascii="宋体" w:hAnsi="宋体" w:cs="宋体"/>
                <w:bCs/>
                <w:color w:val="000000"/>
                <w:szCs w:val="21"/>
                <w:lang w:val="en-US" w:eastAsia="zh-CN"/>
              </w:rPr>
              <w:t>3</w:t>
            </w:r>
            <w:r>
              <w:rPr>
                <w:rFonts w:hint="eastAsia" w:ascii="宋体" w:hAnsi="宋体" w:cs="宋体"/>
                <w:bCs/>
                <w:color w:val="000000"/>
                <w:szCs w:val="21"/>
              </w:rPr>
              <w:t>年中国境内私募股权投资基金市场：</w:t>
            </w:r>
          </w:p>
          <w:p>
            <w:pPr>
              <w:pStyle w:val="7"/>
              <w:adjustRightInd w:val="0"/>
              <w:snapToGrid w:val="0"/>
              <w:spacing w:after="0"/>
              <w:rPr>
                <w:rFonts w:ascii="宋体" w:hAnsi="宋体" w:cs="宋体"/>
                <w:bCs/>
                <w:color w:val="000000"/>
                <w:szCs w:val="21"/>
              </w:rPr>
            </w:pPr>
            <w:r>
              <w:rPr>
                <w:rFonts w:hint="eastAsia" w:ascii="宋体" w:hAnsi="宋体" w:cs="宋体"/>
                <w:bCs/>
                <w:color w:val="000000"/>
                <w:szCs w:val="21"/>
                <w:lang w:val="en-US" w:eastAsia="zh-CN"/>
              </w:rPr>
              <w:t>南网基金</w:t>
            </w:r>
            <w:r>
              <w:rPr>
                <w:rFonts w:hint="eastAsia" w:ascii="宋体" w:hAnsi="宋体" w:cs="宋体"/>
                <w:bCs/>
                <w:color w:val="000000"/>
                <w:szCs w:val="21"/>
              </w:rPr>
              <w:t>：0-5%，</w:t>
            </w:r>
            <w:r>
              <w:rPr>
                <w:rFonts w:hint="eastAsia" w:ascii="宋体" w:hAnsi="宋体" w:cs="宋体"/>
                <w:bCs/>
                <w:color w:val="000000"/>
                <w:szCs w:val="21"/>
                <w:lang w:val="en-US" w:eastAsia="zh-CN"/>
              </w:rPr>
              <w:t>佳朋</w:t>
            </w:r>
            <w:r>
              <w:rPr>
                <w:rFonts w:hint="eastAsia" w:ascii="宋体" w:hAnsi="宋体" w:cs="宋体"/>
                <w:bCs/>
                <w:color w:val="000000"/>
                <w:szCs w:val="21"/>
              </w:rPr>
              <w:t>基金：0-5%，各方合计：0-5%</w:t>
            </w:r>
          </w:p>
        </w:tc>
      </w:tr>
    </w:tbl>
    <w:p>
      <w:pPr>
        <w:adjustRightInd w:val="0"/>
        <w:snapToGrid w:val="0"/>
        <w:rPr>
          <w:rFonts w:hint="default" w:ascii="Times New Roman" w:hAnsi="Times New Roman" w:cs="Times New Roman" w:eastAsiaTheme="minorEastAsia"/>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script"/>
    <w:pitch w:val="default"/>
    <w:sig w:usb0="A00002BF" w:usb1="184F6CFA" w:usb2="00000012" w:usb3="00000000" w:csb0="00040001" w:csb1="00000000"/>
  </w:font>
  <w:font w:name="Simplified Arabic">
    <w:altName w:val="Arial"/>
    <w:panose1 w:val="02020603050405020304"/>
    <w:charset w:val="B2"/>
    <w:family w:val="roman"/>
    <w:pitch w:val="default"/>
    <w:sig w:usb0="00000000"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Microsoft YaHei">
    <w:altName w:val="黑体"/>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方正宋体S-超大字符集">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  \* MERGEFORMAT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mGtJuGgIAACkEAAAOAAAAZHJz&#10;L2Uyb0RvYy54bWytU8uO0zAU3SPxD5b3NG0Ro6pqOiozKkKqmJEGxNp17CaSX7LdJuUD4A9YsWHP&#10;d/U7OHaTFgErxMa51/f6Ps45Wdx2WpGD8KGxpqST0ZgSYbitGrMr6Yf36xczSkJkpmLKGlHSowj0&#10;dvn82aJ1czG1tVWV8ARFTJi3rqR1jG5eFIHXQrMwsk4YBKX1mkW4fldUnrWorlUxHY9vitb6ynnL&#10;RQi4vT8H6TLXl1Lw+CBlEJGokmK2mE+fz206i+WCzXeeubrh/RjsH6bQrDFoeil1zyIje9/8UUo3&#10;3NtgZRxxqwsrZcNF3gHbTMa/bfNUMyfyLgAnuAtM4f+V5e8Oj540FbijxDANik5fv5y+/Th9/0wm&#10;CZ7WhTmynhzyYvfadiWNfi+GUMB9WryTXqcvViJIAdbHC76ii4TjcjKbzmZjhDhig4MWxfW58yG+&#10;EVaTZJTUg8CMKztsQjynDimpm7HrRqlMojKkLenNy1fj/OASQXFl0CPtcR42WbHbdv1yW1sdsZu3&#10;Z3EEx9cNmm9YiI/MQw0YGAqPDziksmhie4uS2vpPf7tP+SAJUUpaqKukBvKnRL01IC8JcTD8YGwH&#10;w+z1nYVcQQhmySYe+KgGU3qrP0L2q9RDMhVQmBmObqBmMO8ivD6I34eL1eri751vdvX1MaToWNyY&#10;J8d7chO2wa32Efhm2BNmZ6B6KKHHTFz/7yTB/+rnrOsfvvwJ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FgAAAGRycy9QSwECFAAUAAAACACH&#10;TuJAs0lY7tAAAAAFAQAADwAAAAAAAAABACAAAAA4AAAAZHJzL2Rvd25yZXYueG1sUEsBAhQAFAAA&#10;AAgAh07iQCYa0m4aAgAAKQQAAA4AAAAAAAAAAQAgAAAANQEAAGRycy9lMm9Eb2MueG1sUEsFBgAA&#10;AAAGAAYAWQEAAMEFAAAAAA==&#10;">
              <v:fill on="f" focussize="0,0"/>
              <v:stroke on="f" weight="0.5pt"/>
              <v:imagedata o:title=""/>
              <o:lock v:ext="edit" aspectratio="f"/>
              <v:textbox inset="0mm,0mm,0mm,0mm" style="mso-fit-shape-to-text:t;">
                <w:txbxContent>
                  <w:p>
                    <w:pPr>
                      <w:pStyle w:val="8"/>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  \* MERGEFORMAT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false"/>
  <w:bordersDoNotSurroundFooter w:val="false"/>
  <w:trackRevisions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k1Nzg2Yzk0OTU3YjY2MGZjZDE3YjZmMzRiYmI2NzMifQ=="/>
  </w:docVars>
  <w:rsids>
    <w:rsidRoot w:val="511505E7"/>
    <w:rsid w:val="00042BDD"/>
    <w:rsid w:val="0007692D"/>
    <w:rsid w:val="00087338"/>
    <w:rsid w:val="00114814"/>
    <w:rsid w:val="001B50F2"/>
    <w:rsid w:val="001C6148"/>
    <w:rsid w:val="001F1C3C"/>
    <w:rsid w:val="0022179C"/>
    <w:rsid w:val="00221FCA"/>
    <w:rsid w:val="00244DF9"/>
    <w:rsid w:val="00284710"/>
    <w:rsid w:val="00332EAC"/>
    <w:rsid w:val="00346B84"/>
    <w:rsid w:val="00367A54"/>
    <w:rsid w:val="004C4C54"/>
    <w:rsid w:val="00500F51"/>
    <w:rsid w:val="00504BEC"/>
    <w:rsid w:val="00507863"/>
    <w:rsid w:val="005C4EFC"/>
    <w:rsid w:val="0062408E"/>
    <w:rsid w:val="00627CE6"/>
    <w:rsid w:val="00646E32"/>
    <w:rsid w:val="006A20C6"/>
    <w:rsid w:val="006C3B44"/>
    <w:rsid w:val="00707821"/>
    <w:rsid w:val="0072474D"/>
    <w:rsid w:val="00734F51"/>
    <w:rsid w:val="007D63FA"/>
    <w:rsid w:val="007F706B"/>
    <w:rsid w:val="00816711"/>
    <w:rsid w:val="00826195"/>
    <w:rsid w:val="008472A3"/>
    <w:rsid w:val="00876497"/>
    <w:rsid w:val="009040AD"/>
    <w:rsid w:val="00934D60"/>
    <w:rsid w:val="00A73286"/>
    <w:rsid w:val="00B45330"/>
    <w:rsid w:val="00B93533"/>
    <w:rsid w:val="00BC4863"/>
    <w:rsid w:val="00BD3FB4"/>
    <w:rsid w:val="00BE051D"/>
    <w:rsid w:val="00C046B3"/>
    <w:rsid w:val="00D11F6E"/>
    <w:rsid w:val="00D14CED"/>
    <w:rsid w:val="00E40607"/>
    <w:rsid w:val="00E4263C"/>
    <w:rsid w:val="00E466FD"/>
    <w:rsid w:val="00F63099"/>
    <w:rsid w:val="00F7053E"/>
    <w:rsid w:val="00F90810"/>
    <w:rsid w:val="00FD5EA5"/>
    <w:rsid w:val="00FF42DD"/>
    <w:rsid w:val="011DF4EB"/>
    <w:rsid w:val="01B165CE"/>
    <w:rsid w:val="0217304F"/>
    <w:rsid w:val="02515359"/>
    <w:rsid w:val="030806B1"/>
    <w:rsid w:val="03490091"/>
    <w:rsid w:val="03D70EC9"/>
    <w:rsid w:val="04B425C4"/>
    <w:rsid w:val="04B85AFF"/>
    <w:rsid w:val="05AB50DB"/>
    <w:rsid w:val="06075F29"/>
    <w:rsid w:val="072729B8"/>
    <w:rsid w:val="07D6476B"/>
    <w:rsid w:val="087232C3"/>
    <w:rsid w:val="08D6542E"/>
    <w:rsid w:val="08DF269A"/>
    <w:rsid w:val="08ED34FD"/>
    <w:rsid w:val="093446A7"/>
    <w:rsid w:val="0AF22185"/>
    <w:rsid w:val="0B1835C3"/>
    <w:rsid w:val="0B63273E"/>
    <w:rsid w:val="0BD91CE7"/>
    <w:rsid w:val="0C6B60D7"/>
    <w:rsid w:val="0DE526A7"/>
    <w:rsid w:val="0E5C7E9D"/>
    <w:rsid w:val="0EEC791B"/>
    <w:rsid w:val="0F272A69"/>
    <w:rsid w:val="0FA436B7"/>
    <w:rsid w:val="0FBBC6D8"/>
    <w:rsid w:val="10C02711"/>
    <w:rsid w:val="10E56225"/>
    <w:rsid w:val="11B6766C"/>
    <w:rsid w:val="11D03D09"/>
    <w:rsid w:val="12ED74AA"/>
    <w:rsid w:val="130B6D76"/>
    <w:rsid w:val="13236AF1"/>
    <w:rsid w:val="13770C5C"/>
    <w:rsid w:val="13D6674E"/>
    <w:rsid w:val="14C04A22"/>
    <w:rsid w:val="150C1E94"/>
    <w:rsid w:val="15D94F21"/>
    <w:rsid w:val="15E47716"/>
    <w:rsid w:val="1680064E"/>
    <w:rsid w:val="170576D4"/>
    <w:rsid w:val="17436509"/>
    <w:rsid w:val="176A2EA4"/>
    <w:rsid w:val="19143417"/>
    <w:rsid w:val="1AA11230"/>
    <w:rsid w:val="1B2D6269"/>
    <w:rsid w:val="1BF9394B"/>
    <w:rsid w:val="1BF9AB71"/>
    <w:rsid w:val="1C361957"/>
    <w:rsid w:val="1DA24124"/>
    <w:rsid w:val="1DFE30C6"/>
    <w:rsid w:val="1E865B1A"/>
    <w:rsid w:val="1F2073B8"/>
    <w:rsid w:val="1FC81833"/>
    <w:rsid w:val="20130AF8"/>
    <w:rsid w:val="20C2797E"/>
    <w:rsid w:val="215B059A"/>
    <w:rsid w:val="22151D28"/>
    <w:rsid w:val="24606B41"/>
    <w:rsid w:val="246736EB"/>
    <w:rsid w:val="24840815"/>
    <w:rsid w:val="25C17900"/>
    <w:rsid w:val="261144B9"/>
    <w:rsid w:val="27B435B3"/>
    <w:rsid w:val="27ED6C10"/>
    <w:rsid w:val="281C288D"/>
    <w:rsid w:val="289A6D28"/>
    <w:rsid w:val="2B795B9C"/>
    <w:rsid w:val="2C0C7CCC"/>
    <w:rsid w:val="2CAC25FF"/>
    <w:rsid w:val="2DFF8C0F"/>
    <w:rsid w:val="2E6E7938"/>
    <w:rsid w:val="2ECF569F"/>
    <w:rsid w:val="2F0902B7"/>
    <w:rsid w:val="3025112D"/>
    <w:rsid w:val="319E78FD"/>
    <w:rsid w:val="339B1A7D"/>
    <w:rsid w:val="34390907"/>
    <w:rsid w:val="34527864"/>
    <w:rsid w:val="34D859DA"/>
    <w:rsid w:val="356065C1"/>
    <w:rsid w:val="35741F7B"/>
    <w:rsid w:val="35927D49"/>
    <w:rsid w:val="36647739"/>
    <w:rsid w:val="36722108"/>
    <w:rsid w:val="37736187"/>
    <w:rsid w:val="37EC4B4C"/>
    <w:rsid w:val="3A7D25F4"/>
    <w:rsid w:val="3B6C128B"/>
    <w:rsid w:val="3BF42FA2"/>
    <w:rsid w:val="3C1B3849"/>
    <w:rsid w:val="3C2232BF"/>
    <w:rsid w:val="3CA80FD9"/>
    <w:rsid w:val="3DBE0E38"/>
    <w:rsid w:val="3DCF2C73"/>
    <w:rsid w:val="3E3B322A"/>
    <w:rsid w:val="3EB7365E"/>
    <w:rsid w:val="3EBE2D3F"/>
    <w:rsid w:val="3ED7D01C"/>
    <w:rsid w:val="3EE73D98"/>
    <w:rsid w:val="3F3D2194"/>
    <w:rsid w:val="3FFFF7A9"/>
    <w:rsid w:val="40D7777E"/>
    <w:rsid w:val="41D779C0"/>
    <w:rsid w:val="436C6603"/>
    <w:rsid w:val="436E421B"/>
    <w:rsid w:val="43E353FE"/>
    <w:rsid w:val="45E92E66"/>
    <w:rsid w:val="46845245"/>
    <w:rsid w:val="46B553BE"/>
    <w:rsid w:val="46D11569"/>
    <w:rsid w:val="46F216C3"/>
    <w:rsid w:val="48567BBA"/>
    <w:rsid w:val="48604985"/>
    <w:rsid w:val="48C332AF"/>
    <w:rsid w:val="49857111"/>
    <w:rsid w:val="498A72A0"/>
    <w:rsid w:val="4C824703"/>
    <w:rsid w:val="4CC01CF8"/>
    <w:rsid w:val="4CFD75DE"/>
    <w:rsid w:val="4D533669"/>
    <w:rsid w:val="4D611881"/>
    <w:rsid w:val="4DB67BAD"/>
    <w:rsid w:val="4DBF710D"/>
    <w:rsid w:val="4E585190"/>
    <w:rsid w:val="4E626EA5"/>
    <w:rsid w:val="4F7786F9"/>
    <w:rsid w:val="4F7D0643"/>
    <w:rsid w:val="50CB3BDA"/>
    <w:rsid w:val="511505E7"/>
    <w:rsid w:val="5275657D"/>
    <w:rsid w:val="53701092"/>
    <w:rsid w:val="53DE53F7"/>
    <w:rsid w:val="549363D0"/>
    <w:rsid w:val="54D26C3D"/>
    <w:rsid w:val="54DD7AC9"/>
    <w:rsid w:val="55413F6A"/>
    <w:rsid w:val="558A3AEC"/>
    <w:rsid w:val="55FF4F39"/>
    <w:rsid w:val="560E1071"/>
    <w:rsid w:val="563C0C84"/>
    <w:rsid w:val="567C47AD"/>
    <w:rsid w:val="568C7EFA"/>
    <w:rsid w:val="5721053D"/>
    <w:rsid w:val="59E639A5"/>
    <w:rsid w:val="5A320350"/>
    <w:rsid w:val="5A4E1134"/>
    <w:rsid w:val="5A8F5421"/>
    <w:rsid w:val="5AB377AC"/>
    <w:rsid w:val="5ADB7A9F"/>
    <w:rsid w:val="5BDF7AA8"/>
    <w:rsid w:val="5CC770F3"/>
    <w:rsid w:val="5DFF5221"/>
    <w:rsid w:val="5E606197"/>
    <w:rsid w:val="5E758AD3"/>
    <w:rsid w:val="5EFFEB53"/>
    <w:rsid w:val="5F5B3889"/>
    <w:rsid w:val="5F7404E1"/>
    <w:rsid w:val="60B85CFA"/>
    <w:rsid w:val="61AC7C2D"/>
    <w:rsid w:val="61BE5E80"/>
    <w:rsid w:val="61F32521"/>
    <w:rsid w:val="63F6661D"/>
    <w:rsid w:val="647B624F"/>
    <w:rsid w:val="64F94FB6"/>
    <w:rsid w:val="64FF0119"/>
    <w:rsid w:val="650C61D5"/>
    <w:rsid w:val="65183212"/>
    <w:rsid w:val="654F569B"/>
    <w:rsid w:val="65AC0421"/>
    <w:rsid w:val="67090219"/>
    <w:rsid w:val="6754015D"/>
    <w:rsid w:val="67885F66"/>
    <w:rsid w:val="67D469E8"/>
    <w:rsid w:val="685D233B"/>
    <w:rsid w:val="69C0748D"/>
    <w:rsid w:val="6A7D30C3"/>
    <w:rsid w:val="6ABB6FCD"/>
    <w:rsid w:val="6B9261CD"/>
    <w:rsid w:val="6B9A71CB"/>
    <w:rsid w:val="6BCB1BF4"/>
    <w:rsid w:val="6BCC0CB3"/>
    <w:rsid w:val="6C45316D"/>
    <w:rsid w:val="6CBF87B4"/>
    <w:rsid w:val="6DD538E7"/>
    <w:rsid w:val="6DEFBAE0"/>
    <w:rsid w:val="6E372E5F"/>
    <w:rsid w:val="6E3FE820"/>
    <w:rsid w:val="6E786ABC"/>
    <w:rsid w:val="6F2E2E0E"/>
    <w:rsid w:val="6F538C10"/>
    <w:rsid w:val="6F7F118C"/>
    <w:rsid w:val="6FDF5799"/>
    <w:rsid w:val="710A7485"/>
    <w:rsid w:val="71394751"/>
    <w:rsid w:val="72131803"/>
    <w:rsid w:val="723024E6"/>
    <w:rsid w:val="73026B48"/>
    <w:rsid w:val="74566BED"/>
    <w:rsid w:val="74CE550B"/>
    <w:rsid w:val="74FA9F2D"/>
    <w:rsid w:val="755F49C7"/>
    <w:rsid w:val="75864A53"/>
    <w:rsid w:val="767FE0B3"/>
    <w:rsid w:val="76AFBFF1"/>
    <w:rsid w:val="76CA40F3"/>
    <w:rsid w:val="77527FDF"/>
    <w:rsid w:val="77AFF4F6"/>
    <w:rsid w:val="77FF6A8C"/>
    <w:rsid w:val="77FFCFC3"/>
    <w:rsid w:val="78410251"/>
    <w:rsid w:val="793FB7A1"/>
    <w:rsid w:val="7A66B182"/>
    <w:rsid w:val="7A9C06E1"/>
    <w:rsid w:val="7AB91678"/>
    <w:rsid w:val="7B8F578C"/>
    <w:rsid w:val="7B9A66EF"/>
    <w:rsid w:val="7BE411F0"/>
    <w:rsid w:val="7BFFD823"/>
    <w:rsid w:val="7C7918BC"/>
    <w:rsid w:val="7DCE664D"/>
    <w:rsid w:val="7DF91645"/>
    <w:rsid w:val="7EE72273"/>
    <w:rsid w:val="7EF7CDD2"/>
    <w:rsid w:val="7F7BEB9D"/>
    <w:rsid w:val="7FBF2495"/>
    <w:rsid w:val="7FDCAB43"/>
    <w:rsid w:val="7FE15510"/>
    <w:rsid w:val="7FE91E78"/>
    <w:rsid w:val="7FF500C7"/>
    <w:rsid w:val="7FFBAC85"/>
    <w:rsid w:val="7FFDE69B"/>
    <w:rsid w:val="9CBD0B1A"/>
    <w:rsid w:val="A7F9C1DE"/>
    <w:rsid w:val="A9AD231D"/>
    <w:rsid w:val="ADFAC79E"/>
    <w:rsid w:val="AE7E1E17"/>
    <w:rsid w:val="B593FB7D"/>
    <w:rsid w:val="B9B92832"/>
    <w:rsid w:val="BCB7048F"/>
    <w:rsid w:val="BCF89F06"/>
    <w:rsid w:val="BEAF73DD"/>
    <w:rsid w:val="BF3A91A4"/>
    <w:rsid w:val="BF7DF2F2"/>
    <w:rsid w:val="BF8E36EE"/>
    <w:rsid w:val="BFAFC604"/>
    <w:rsid w:val="BFDFB85E"/>
    <w:rsid w:val="BFF739EC"/>
    <w:rsid w:val="C3F5BA26"/>
    <w:rsid w:val="CF793948"/>
    <w:rsid w:val="CFFF746D"/>
    <w:rsid w:val="D5DB8D8A"/>
    <w:rsid w:val="D6799196"/>
    <w:rsid w:val="DD3FD0E3"/>
    <w:rsid w:val="DDEFBA43"/>
    <w:rsid w:val="DEAFB90F"/>
    <w:rsid w:val="DF21B821"/>
    <w:rsid w:val="DFD76A11"/>
    <w:rsid w:val="DFEF172F"/>
    <w:rsid w:val="E7FFE685"/>
    <w:rsid w:val="E9F71F09"/>
    <w:rsid w:val="EAFD8D58"/>
    <w:rsid w:val="EB6C770B"/>
    <w:rsid w:val="EBCD181E"/>
    <w:rsid w:val="EDF50BF3"/>
    <w:rsid w:val="EFFFDD70"/>
    <w:rsid w:val="F1B778F1"/>
    <w:rsid w:val="F3FF743F"/>
    <w:rsid w:val="F4FF55F7"/>
    <w:rsid w:val="F7EFF966"/>
    <w:rsid w:val="F7FD911C"/>
    <w:rsid w:val="F9A59508"/>
    <w:rsid w:val="F9DF2CA6"/>
    <w:rsid w:val="FB3326CC"/>
    <w:rsid w:val="FBCE4D19"/>
    <w:rsid w:val="FBFE1D07"/>
    <w:rsid w:val="FDBF10AA"/>
    <w:rsid w:val="FE5FA0A2"/>
    <w:rsid w:val="FE7D05F6"/>
    <w:rsid w:val="FEAEC70B"/>
    <w:rsid w:val="FF57FBD6"/>
    <w:rsid w:val="FFB70466"/>
    <w:rsid w:val="FFBC3961"/>
    <w:rsid w:val="FFCF003E"/>
    <w:rsid w:val="FFEB1C8C"/>
    <w:rsid w:val="FFEE6CF6"/>
    <w:rsid w:val="FFFF3A53"/>
    <w:rsid w:val="FFFF9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qFormat/>
    <w:uiPriority w:val="9"/>
    <w:pPr>
      <w:spacing w:after="156" w:afterLines="50" w:line="640" w:lineRule="exact"/>
      <w:outlineLvl w:val="0"/>
    </w:pPr>
    <w:rPr>
      <w:rFonts w:ascii="方正小标宋简体" w:eastAsia="方正小标宋简体"/>
      <w:sz w:val="44"/>
      <w:szCs w:val="36"/>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customStyle="1" w:styleId="3">
    <w:name w:val="名称2"/>
    <w:basedOn w:val="4"/>
    <w:qFormat/>
    <w:uiPriority w:val="0"/>
    <w:pPr>
      <w:spacing w:after="312" w:afterLines="100"/>
    </w:pPr>
    <w:rPr>
      <w:b w:val="0"/>
      <w:sz w:val="20"/>
    </w:rPr>
  </w:style>
  <w:style w:type="paragraph" w:customStyle="1" w:styleId="4">
    <w:name w:val="名称"/>
    <w:basedOn w:val="1"/>
    <w:qFormat/>
    <w:uiPriority w:val="0"/>
    <w:pPr>
      <w:jc w:val="center"/>
    </w:pPr>
    <w:rPr>
      <w:b/>
      <w:kern w:val="0"/>
      <w:sz w:val="44"/>
      <w:szCs w:val="20"/>
    </w:rPr>
  </w:style>
  <w:style w:type="paragraph" w:styleId="5">
    <w:name w:val="Normal Indent"/>
    <w:basedOn w:val="1"/>
    <w:next w:val="1"/>
    <w:qFormat/>
    <w:uiPriority w:val="99"/>
  </w:style>
  <w:style w:type="paragraph" w:styleId="6">
    <w:name w:val="annotation text"/>
    <w:basedOn w:val="1"/>
    <w:qFormat/>
    <w:uiPriority w:val="0"/>
    <w:pPr>
      <w:jc w:val="left"/>
    </w:pPr>
  </w:style>
  <w:style w:type="paragraph" w:styleId="7">
    <w:name w:val="Body Text"/>
    <w:basedOn w:val="1"/>
    <w:link w:val="18"/>
    <w:unhideWhenUsed/>
    <w:qFormat/>
    <w:uiPriority w:val="99"/>
    <w:pPr>
      <w:spacing w:after="120"/>
    </w:pPr>
  </w:style>
  <w:style w:type="paragraph" w:styleId="8">
    <w:name w:val="footer"/>
    <w:basedOn w:val="1"/>
    <w:link w:val="17"/>
    <w:qFormat/>
    <w:uiPriority w:val="0"/>
    <w:pPr>
      <w:tabs>
        <w:tab w:val="center" w:pos="4153"/>
        <w:tab w:val="right" w:pos="8306"/>
      </w:tabs>
      <w:snapToGrid w:val="0"/>
      <w:jc w:val="left"/>
    </w:pPr>
    <w:rPr>
      <w:sz w:val="18"/>
      <w:szCs w:val="18"/>
    </w:rPr>
  </w:style>
  <w:style w:type="paragraph" w:styleId="9">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10">
    <w:name w:val="toc 2"/>
    <w:basedOn w:val="1"/>
    <w:next w:val="1"/>
    <w:qFormat/>
    <w:uiPriority w:val="0"/>
    <w:pPr>
      <w:ind w:left="420" w:leftChars="200"/>
    </w:pPr>
    <w:rPr>
      <w:rFonts w:ascii="Times New Roman" w:hAnsi="Times New Roman" w:eastAsia="宋体"/>
      <w:sz w:val="30"/>
    </w:rPr>
  </w:style>
  <w:style w:type="paragraph" w:styleId="11">
    <w:name w:val="Body Text First Indent"/>
    <w:basedOn w:val="7"/>
    <w:qFormat/>
    <w:uiPriority w:val="0"/>
    <w:pPr>
      <w:ind w:firstLine="420" w:firstLineChars="100"/>
    </w:pPr>
  </w:style>
  <w:style w:type="table" w:styleId="13">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5">
    <w:name w:val="page number"/>
    <w:qFormat/>
    <w:uiPriority w:val="0"/>
    <w:rPr>
      <w:rFonts w:ascii="Times New Roman" w:hAnsi="Times New Roman" w:eastAsia="宋体" w:cs="Simplified Arabic"/>
      <w:sz w:val="24"/>
      <w:szCs w:val="24"/>
      <w:lang w:val="en-GB" w:bidi="ar-AE"/>
    </w:rPr>
  </w:style>
  <w:style w:type="character" w:customStyle="1" w:styleId="16">
    <w:name w:val="页眉 字符"/>
    <w:basedOn w:val="14"/>
    <w:link w:val="9"/>
    <w:qFormat/>
    <w:uiPriority w:val="0"/>
    <w:rPr>
      <w:rFonts w:ascii="Times New Roman" w:hAnsi="Times New Roman" w:eastAsia="宋体" w:cs="Times New Roman"/>
      <w:kern w:val="2"/>
      <w:sz w:val="18"/>
      <w:szCs w:val="18"/>
    </w:rPr>
  </w:style>
  <w:style w:type="character" w:customStyle="1" w:styleId="17">
    <w:name w:val="页脚 字符"/>
    <w:basedOn w:val="14"/>
    <w:link w:val="8"/>
    <w:qFormat/>
    <w:uiPriority w:val="0"/>
    <w:rPr>
      <w:rFonts w:ascii="Times New Roman" w:hAnsi="Times New Roman" w:eastAsia="宋体" w:cs="Times New Roman"/>
      <w:kern w:val="2"/>
      <w:sz w:val="18"/>
      <w:szCs w:val="18"/>
    </w:rPr>
  </w:style>
  <w:style w:type="character" w:customStyle="1" w:styleId="18">
    <w:name w:val="正文文本 字符"/>
    <w:basedOn w:val="14"/>
    <w:link w:val="7"/>
    <w:qFormat/>
    <w:uiPriority w:val="99"/>
    <w:rPr>
      <w:rFonts w:ascii="Times New Roman" w:hAnsi="Times New Roman" w:eastAsia="宋体" w:cs="Times New Roman"/>
      <w:kern w:val="2"/>
      <w:sz w:val="21"/>
      <w:szCs w:val="24"/>
    </w:rPr>
  </w:style>
  <w:style w:type="paragraph" w:styleId="19">
    <w:name w:val="List Paragraph"/>
    <w:basedOn w:val="1"/>
    <w:qFormat/>
    <w:uiPriority w:val="99"/>
    <w:pPr>
      <w:ind w:firstLine="420" w:firstLineChars="200"/>
    </w:pPr>
  </w:style>
  <w:style w:type="paragraph" w:customStyle="1" w:styleId="20">
    <w:name w:val="Footer Right"/>
    <w:basedOn w:val="8"/>
    <w:qFormat/>
    <w:uiPriority w:val="0"/>
    <w:pPr>
      <w:jc w:val="right"/>
    </w:pPr>
  </w:style>
  <w:style w:type="paragraph" w:customStyle="1" w:styleId="21">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其他省直机关单位</Company>
  <Pages>4</Pages>
  <Words>1836</Words>
  <Characters>2007</Characters>
  <Lines>1</Lines>
  <Paragraphs>1</Paragraphs>
  <TotalTime>32</TotalTime>
  <ScaleCrop>false</ScaleCrop>
  <LinksUpToDate>false</LinksUpToDate>
  <CharactersWithSpaces>2132</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2023-02-28T09:34:00Z</dcterms:created>
  <dc:creator>张斌（反垄断处）</dc:creator>
  <cp:lastModifiedBy>邱伟</cp:lastModifiedBy>
  <cp:lastPrinted>2024-08-02T17:27:00Z</cp:lastPrinted>
  <dcterms:modified xsi:type="dcterms:W3CDTF">2024-10-18T10:07:37Z</dcterms:modified>
  <dc:title>关于经营者集中反垄断审查案件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ICV">
    <vt:lpwstr>88AF3D8940C7D91719741067CA50BC53</vt:lpwstr>
  </property>
</Properties>
</file>