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default" w:ascii="Times New Roman" w:hAnsi="Times New Roman" w:eastAsia="黑体" w:cs="Times New Roman"/>
          <w:bCs/>
          <w:kern w:val="0"/>
          <w:sz w:val="44"/>
          <w:szCs w:val="44"/>
          <w:lang w:val="en-GB" w:bidi="ar-AE"/>
        </w:rPr>
      </w:pPr>
      <w:r>
        <w:rPr>
          <w:rFonts w:hint="default" w:ascii="Times New Roman" w:hAnsi="Times New Roman" w:eastAsia="黑体" w:cs="Times New Roman"/>
          <w:bCs/>
          <w:sz w:val="44"/>
          <w:szCs w:val="44"/>
          <w:lang w:val="en-US" w:eastAsia="zh-CN"/>
        </w:rPr>
        <w:t xml:space="preserve"> </w:t>
      </w:r>
      <w:r>
        <w:rPr>
          <w:rFonts w:hint="default" w:ascii="Times New Roman" w:hAnsi="Times New Roman" w:eastAsia="方正小标宋简体" w:cs="Times New Roman"/>
          <w:bCs/>
          <w:kern w:val="0"/>
          <w:sz w:val="44"/>
          <w:szCs w:val="44"/>
          <w:lang w:val="en-GB" w:bidi="ar-AE"/>
        </w:rPr>
        <w:t>经营者集中简易案件公示表</w:t>
      </w:r>
    </w:p>
    <w:tbl>
      <w:tblPr>
        <w:tblStyle w:val="12"/>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1940" w:type="dxa"/>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案件名称</w:t>
            </w:r>
          </w:p>
        </w:tc>
        <w:tc>
          <w:tcPr>
            <w:tcW w:w="7700" w:type="dxa"/>
            <w:gridSpan w:val="2"/>
            <w:shd w:val="clear" w:color="auto" w:fill="auto"/>
            <w:vAlign w:val="center"/>
          </w:tcPr>
          <w:p>
            <w:pPr>
              <w:adjustRightInd w:val="0"/>
              <w:snapToGrid w:val="0"/>
              <w:rPr>
                <w:rFonts w:hint="default" w:ascii="Times New Roman" w:hAnsi="Times New Roman" w:cs="Times New Roman"/>
                <w:bCs/>
                <w:color w:val="000000"/>
                <w:szCs w:val="21"/>
              </w:rPr>
            </w:pPr>
            <w:r>
              <w:rPr>
                <w:rFonts w:hint="default" w:ascii="Times New Roman" w:hAnsi="Times New Roman" w:eastAsia="宋体" w:cs="Times New Roman"/>
                <w:bCs/>
                <w:color w:val="000000"/>
                <w:sz w:val="22"/>
                <w:szCs w:val="22"/>
              </w:rPr>
              <w:t>G Matrix有限责任公司与加拿大养老金计划投资委员会收购Equinix AMER Hyperscale 3有限合伙股权案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2" w:hRule="atLeast"/>
          <w:jc w:val="center"/>
        </w:trPr>
        <w:tc>
          <w:tcPr>
            <w:tcW w:w="1940" w:type="dxa"/>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交易概况</w:t>
            </w:r>
          </w:p>
          <w:p>
            <w:pPr>
              <w:pStyle w:val="7"/>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（限200字内）</w:t>
            </w:r>
          </w:p>
        </w:tc>
        <w:tc>
          <w:tcPr>
            <w:tcW w:w="7700" w:type="dxa"/>
            <w:gridSpan w:val="2"/>
            <w:vAlign w:val="center"/>
          </w:tcPr>
          <w:p>
            <w:pPr>
              <w:adjustRightInd w:val="0"/>
              <w:snapToGrid w:val="0"/>
              <w:rPr>
                <w:rFonts w:hint="default" w:ascii="Times New Roman" w:hAnsi="Times New Roman" w:cs="Times New Roman"/>
                <w:bCs/>
                <w:color w:val="000000"/>
                <w:sz w:val="22"/>
                <w:szCs w:val="22"/>
              </w:rPr>
            </w:pPr>
            <w:r>
              <w:rPr>
                <w:rFonts w:ascii="Times New Roman" w:hAnsi="Times New Roman" w:cs="Times New Roman"/>
                <w:bCs/>
                <w:color w:val="000000"/>
                <w:sz w:val="22"/>
                <w:szCs w:val="22"/>
              </w:rPr>
              <w:t>G Matrix 有限责任公司（“G Matrix”）、加拿大养老金计划投资委员会（“CPP Investments”）与Equinix公司（“Equinix”）签订协议，G Matrix和CPP Investments拟分别认购Equinix全资子公司Equinix AMER Hyperscale 3 有限合伙（“平台合伙企业”）49%的有限合伙权益。平台合伙企业将通过其子公司在美国从事互联网数据中心的收购和开发业务。</w:t>
            </w:r>
            <w:r>
              <w:rPr>
                <w:rFonts w:hint="default" w:ascii="Times New Roman" w:hAnsi="Times New Roman" w:cs="Times New Roman"/>
                <w:bCs/>
                <w:color w:val="000000"/>
                <w:sz w:val="22"/>
                <w:szCs w:val="22"/>
              </w:rPr>
              <w:t>交易前，</w:t>
            </w:r>
            <w:r>
              <w:rPr>
                <w:rFonts w:ascii="Times New Roman" w:hAnsi="Times New Roman" w:cs="Times New Roman"/>
                <w:bCs/>
                <w:color w:val="000000"/>
                <w:sz w:val="22"/>
                <w:szCs w:val="22"/>
              </w:rPr>
              <w:t>Equinix</w:t>
            </w:r>
            <w:r>
              <w:rPr>
                <w:rFonts w:hint="default" w:ascii="Times New Roman" w:hAnsi="Times New Roman" w:cs="Times New Roman"/>
                <w:bCs/>
                <w:color w:val="000000"/>
                <w:sz w:val="22"/>
                <w:szCs w:val="22"/>
              </w:rPr>
              <w:t>全资持有并单独控制平台合伙企业。</w:t>
            </w:r>
            <w:r>
              <w:rPr>
                <w:rFonts w:ascii="Times New Roman" w:hAnsi="Times New Roman" w:cs="Times New Roman"/>
                <w:bCs/>
                <w:color w:val="000000"/>
                <w:sz w:val="22"/>
                <w:szCs w:val="22"/>
              </w:rPr>
              <w:t>交易后，G Matrix、CPP Investments</w:t>
            </w:r>
            <w:r>
              <w:rPr>
                <w:rFonts w:hint="default" w:ascii="Times New Roman" w:hAnsi="Times New Roman" w:cs="Times New Roman"/>
                <w:bCs/>
                <w:color w:val="000000"/>
                <w:sz w:val="22"/>
                <w:szCs w:val="22"/>
              </w:rPr>
              <w:t>以及Equinix</w:t>
            </w:r>
            <w:r>
              <w:rPr>
                <w:rFonts w:ascii="Times New Roman" w:hAnsi="Times New Roman" w:cs="Times New Roman"/>
                <w:bCs/>
                <w:color w:val="000000"/>
                <w:sz w:val="22"/>
                <w:szCs w:val="22"/>
              </w:rPr>
              <w:t>将作为平台合伙企业的有限合伙人分别持有其49%</w:t>
            </w:r>
            <w:r>
              <w:rPr>
                <w:rFonts w:hint="default" w:ascii="Times New Roman" w:hAnsi="Times New Roman" w:cs="Times New Roman"/>
                <w:bCs/>
                <w:color w:val="000000"/>
                <w:sz w:val="22"/>
                <w:szCs w:val="22"/>
              </w:rPr>
              <w:t>、</w:t>
            </w:r>
            <w:r>
              <w:rPr>
                <w:rFonts w:ascii="Times New Roman" w:hAnsi="Times New Roman" w:cs="Times New Roman"/>
                <w:bCs/>
                <w:color w:val="000000"/>
                <w:sz w:val="22"/>
                <w:szCs w:val="22"/>
              </w:rPr>
              <w:t>49%</w:t>
            </w:r>
            <w:r>
              <w:rPr>
                <w:rFonts w:hint="default" w:ascii="Times New Roman" w:hAnsi="Times New Roman" w:cs="Times New Roman"/>
                <w:bCs/>
                <w:color w:val="000000"/>
                <w:sz w:val="22"/>
                <w:szCs w:val="22"/>
              </w:rPr>
              <w:t>以及2%的权益，</w:t>
            </w:r>
            <w:r>
              <w:rPr>
                <w:rFonts w:ascii="Times New Roman" w:hAnsi="Times New Roman" w:cs="Times New Roman"/>
                <w:bCs/>
                <w:color w:val="000000"/>
                <w:sz w:val="22"/>
                <w:szCs w:val="22"/>
              </w:rPr>
              <w:t>Equinix</w:t>
            </w:r>
            <w:r>
              <w:rPr>
                <w:rFonts w:hint="default" w:ascii="Times New Roman" w:hAnsi="Times New Roman" w:cs="Times New Roman"/>
                <w:bCs/>
                <w:color w:val="000000"/>
                <w:sz w:val="22"/>
                <w:szCs w:val="22"/>
              </w:rPr>
              <w:t>将同时</w:t>
            </w:r>
            <w:r>
              <w:rPr>
                <w:rFonts w:ascii="Times New Roman" w:hAnsi="Times New Roman" w:cs="Times New Roman"/>
                <w:bCs/>
                <w:color w:val="000000"/>
                <w:sz w:val="22"/>
                <w:szCs w:val="22"/>
              </w:rPr>
              <w:t>作为平台合伙企业的普通合伙人</w:t>
            </w:r>
            <w:r>
              <w:rPr>
                <w:rFonts w:hint="default" w:ascii="Times New Roman" w:hAnsi="Times New Roman" w:cs="Times New Roman"/>
                <w:bCs/>
                <w:color w:val="000000"/>
                <w:sz w:val="22"/>
                <w:szCs w:val="22"/>
              </w:rPr>
              <w:t>，三方</w:t>
            </w:r>
            <w:r>
              <w:rPr>
                <w:rFonts w:ascii="Times New Roman" w:hAnsi="Times New Roman" w:cs="Times New Roman"/>
                <w:bCs/>
                <w:color w:val="000000"/>
                <w:sz w:val="22"/>
                <w:szCs w:val="22"/>
              </w:rPr>
              <w:t>共同控制平台合伙企业。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3" w:hRule="atLeast"/>
          <w:jc w:val="center"/>
        </w:trPr>
        <w:tc>
          <w:tcPr>
            <w:tcW w:w="1940" w:type="dxa"/>
            <w:vMerge w:val="restart"/>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参与集中的</w:t>
            </w:r>
          </w:p>
          <w:p>
            <w:pPr>
              <w:pStyle w:val="7"/>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经营者简介</w:t>
            </w:r>
          </w:p>
          <w:p>
            <w:pPr>
              <w:pStyle w:val="7"/>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（每个限100</w:t>
            </w:r>
          </w:p>
          <w:p>
            <w:pPr>
              <w:pStyle w:val="7"/>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字以内）</w:t>
            </w:r>
          </w:p>
        </w:tc>
        <w:tc>
          <w:tcPr>
            <w:tcW w:w="1607" w:type="dxa"/>
            <w:vAlign w:val="center"/>
          </w:tcPr>
          <w:p>
            <w:pPr>
              <w:pStyle w:val="7"/>
              <w:adjustRightInd w:val="0"/>
              <w:snapToGrid w:val="0"/>
              <w:spacing w:after="0"/>
              <w:rPr>
                <w:rFonts w:hint="default" w:ascii="Times New Roman" w:hAnsi="Times New Roman" w:eastAsia="宋体" w:cs="Times New Roman"/>
                <w:bCs/>
                <w:color w:val="000000"/>
                <w:sz w:val="22"/>
                <w:szCs w:val="22"/>
                <w:lang w:eastAsia="zh-CN"/>
              </w:rPr>
            </w:pPr>
            <w:r>
              <w:rPr>
                <w:rFonts w:hint="default" w:ascii="Times New Roman" w:hAnsi="Times New Roman" w:eastAsia="宋体" w:cs="Times New Roman"/>
                <w:bCs/>
                <w:color w:val="000000"/>
                <w:sz w:val="22"/>
                <w:szCs w:val="22"/>
                <w:lang w:bidi="ar-SA"/>
              </w:rPr>
              <w:t>1.</w:t>
            </w:r>
            <w:r>
              <w:rPr>
                <w:rFonts w:ascii="Times New Roman" w:hAnsi="Times New Roman" w:cs="Times New Roman"/>
                <w:color w:val="000000"/>
                <w:sz w:val="22"/>
              </w:rPr>
              <w:t>G Matrix</w:t>
            </w:r>
          </w:p>
        </w:tc>
        <w:tc>
          <w:tcPr>
            <w:tcW w:w="6093" w:type="dxa"/>
            <w:vAlign w:val="center"/>
          </w:tcPr>
          <w:p>
            <w:pPr>
              <w:adjustRightInd w:val="0"/>
              <w:snapToGrid w:val="0"/>
              <w:spacing w:after="0"/>
              <w:jc w:val="left"/>
              <w:rPr>
                <w:rFonts w:hint="default" w:ascii="Times New Roman" w:hAnsi="Times New Roman" w:cs="Times New Roman" w:eastAsiaTheme="minorEastAsia"/>
                <w:bCs/>
                <w:sz w:val="22"/>
                <w:szCs w:val="22"/>
                <w:lang w:eastAsia="zh-CN"/>
              </w:rPr>
            </w:pPr>
            <w:r>
              <w:rPr>
                <w:rFonts w:ascii="Times New Roman" w:hAnsi="Times New Roman" w:cs="Times New Roman"/>
                <w:color w:val="000000"/>
                <w:sz w:val="22"/>
              </w:rPr>
              <w:t>G Matrix</w:t>
            </w:r>
            <w:r>
              <w:rPr>
                <w:rFonts w:hint="default" w:ascii="Times New Roman" w:hAnsi="Times New Roman" w:cs="Times New Roman" w:eastAsiaTheme="minorEastAsia"/>
                <w:bCs/>
                <w:sz w:val="22"/>
                <w:szCs w:val="22"/>
                <w:lang w:val="en-US"/>
              </w:rPr>
              <w:t>于</w:t>
            </w:r>
            <w:r>
              <w:rPr>
                <w:rFonts w:hint="default" w:ascii="Times New Roman" w:hAnsi="Times New Roman" w:cs="Times New Roman" w:eastAsiaTheme="minorEastAsia"/>
                <w:bCs/>
                <w:sz w:val="22"/>
                <w:szCs w:val="22"/>
                <w:lang w:val="en-US" w:eastAsia="zh-CN"/>
              </w:rPr>
              <w:t>2024</w:t>
            </w:r>
            <w:r>
              <w:rPr>
                <w:rFonts w:hint="default" w:ascii="Times New Roman" w:hAnsi="Times New Roman" w:cs="Times New Roman" w:eastAsiaTheme="minorEastAsia"/>
                <w:bCs/>
                <w:sz w:val="22"/>
                <w:szCs w:val="22"/>
                <w:lang w:val="en-US"/>
              </w:rPr>
              <w:t>年</w:t>
            </w:r>
            <w:r>
              <w:rPr>
                <w:rFonts w:hint="default" w:ascii="Times New Roman" w:hAnsi="Times New Roman" w:cs="Times New Roman" w:eastAsiaTheme="minorEastAsia"/>
                <w:bCs/>
                <w:sz w:val="22"/>
                <w:szCs w:val="22"/>
                <w:lang w:val="en-US" w:eastAsia="zh-CN"/>
              </w:rPr>
              <w:t>7月3日</w:t>
            </w:r>
            <w:r>
              <w:rPr>
                <w:rFonts w:hint="default" w:ascii="Times New Roman" w:hAnsi="Times New Roman" w:cs="Times New Roman" w:eastAsiaTheme="minorEastAsia"/>
                <w:bCs/>
                <w:sz w:val="22"/>
                <w:szCs w:val="22"/>
                <w:lang w:val="en-US"/>
              </w:rPr>
              <w:t>成立于</w:t>
            </w:r>
            <w:r>
              <w:rPr>
                <w:rFonts w:hint="default" w:ascii="Times New Roman" w:hAnsi="Times New Roman" w:cs="Times New Roman" w:eastAsiaTheme="minorEastAsia"/>
                <w:bCs/>
                <w:sz w:val="22"/>
                <w:szCs w:val="22"/>
                <w:lang w:val="en-US" w:eastAsia="zh-CN"/>
              </w:rPr>
              <w:t>美国</w:t>
            </w:r>
            <w:r>
              <w:rPr>
                <w:rFonts w:hint="default" w:ascii="Times New Roman" w:hAnsi="Times New Roman" w:cs="Times New Roman" w:eastAsiaTheme="minorEastAsia"/>
                <w:bCs/>
                <w:sz w:val="22"/>
                <w:szCs w:val="22"/>
                <w:lang w:val="en-US"/>
              </w:rPr>
              <w:t>，</w:t>
            </w:r>
            <w:r>
              <w:rPr>
                <w:rFonts w:ascii="Times New Roman" w:hAnsi="Times New Roman" w:cs="Times New Roman" w:eastAsiaTheme="minorEastAsia"/>
                <w:bCs/>
                <w:sz w:val="22"/>
                <w:szCs w:val="22"/>
              </w:rPr>
              <w:t>主要业务为</w:t>
            </w:r>
            <w:r>
              <w:rPr>
                <w:rFonts w:hint="default" w:ascii="Times New Roman" w:hAnsi="Times New Roman" w:cs="Times New Roman" w:eastAsiaTheme="minorEastAsia"/>
                <w:bCs/>
                <w:sz w:val="22"/>
                <w:szCs w:val="22"/>
                <w:lang w:eastAsia="zh-CN"/>
              </w:rPr>
              <w:t>间接投资美国房地产行业。</w:t>
            </w:r>
          </w:p>
          <w:p>
            <w:pPr>
              <w:adjustRightInd w:val="0"/>
              <w:snapToGrid w:val="0"/>
              <w:jc w:val="left"/>
              <w:rPr>
                <w:rFonts w:hint="default" w:ascii="Times New Roman" w:hAnsi="Times New Roman" w:cs="Times New Roman"/>
                <w:lang w:eastAsia="zh-CN"/>
              </w:rPr>
            </w:pPr>
            <w:r>
              <w:rPr>
                <w:rFonts w:hint="default" w:ascii="Times New Roman" w:hAnsi="Times New Roman" w:cs="Times New Roman" w:eastAsiaTheme="minorEastAsia"/>
                <w:bCs/>
                <w:sz w:val="22"/>
                <w:szCs w:val="22"/>
              </w:rPr>
              <w:t>G Matrix的最终控制人是GIC （Realty） Private Limited（“GIC Realty”）。GIC Realty主要从事房地产投资。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8"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 w:val="24"/>
                <w:szCs w:val="24"/>
              </w:rPr>
            </w:pPr>
          </w:p>
        </w:tc>
        <w:tc>
          <w:tcPr>
            <w:tcW w:w="1607" w:type="dxa"/>
            <w:vAlign w:val="center"/>
          </w:tcPr>
          <w:p>
            <w:pPr>
              <w:pStyle w:val="7"/>
              <w:adjustRightInd w:val="0"/>
              <w:snapToGrid w:val="0"/>
              <w:spacing w:after="0"/>
              <w:rPr>
                <w:rFonts w:hint="default" w:ascii="Times New Roman" w:hAnsi="Times New Roman" w:eastAsia="宋体" w:cs="Times New Roman"/>
                <w:bCs/>
                <w:color w:val="000000"/>
                <w:sz w:val="22"/>
                <w:szCs w:val="22"/>
                <w:lang w:eastAsia="zh-CN"/>
              </w:rPr>
            </w:pPr>
            <w:r>
              <w:rPr>
                <w:rFonts w:hint="default" w:ascii="Times New Roman" w:hAnsi="Times New Roman" w:cs="Times New Roman"/>
                <w:bCs/>
                <w:color w:val="000000"/>
                <w:sz w:val="22"/>
                <w:szCs w:val="22"/>
              </w:rPr>
              <w:t>2.</w:t>
            </w:r>
            <w:r>
              <w:rPr>
                <w:rFonts w:hint="default" w:ascii="Times New Roman" w:hAnsi="Times New Roman" w:eastAsia="宋体" w:cs="Times New Roman"/>
                <w:bCs/>
                <w:color w:val="000000"/>
                <w:sz w:val="22"/>
                <w:szCs w:val="22"/>
              </w:rPr>
              <w:t>CPP Investments</w:t>
            </w:r>
          </w:p>
        </w:tc>
        <w:tc>
          <w:tcPr>
            <w:tcW w:w="6093" w:type="dxa"/>
            <w:vAlign w:val="center"/>
          </w:tcPr>
          <w:p>
            <w:pPr>
              <w:adjustRightInd w:val="0"/>
              <w:snapToGrid w:val="0"/>
              <w:jc w:val="left"/>
              <w:rPr>
                <w:rFonts w:ascii="Times New Roman" w:hAnsi="Times New Roman" w:eastAsia="宋体" w:cs="Times New Roman"/>
                <w:color w:val="000000"/>
                <w:sz w:val="22"/>
              </w:rPr>
            </w:pPr>
            <w:r>
              <w:rPr>
                <w:rFonts w:hint="default" w:ascii="Times New Roman" w:hAnsi="Times New Roman" w:eastAsia="宋体" w:cs="Times New Roman"/>
                <w:color w:val="000000"/>
                <w:sz w:val="22"/>
              </w:rPr>
              <w:t>CPP Investments于1997年12月18日成立于加拿大。CPP Investments是一家专业投资管理机构，投资于公共股权、私募股权、不动产、基础设施和固定收益证券领域。</w:t>
            </w:r>
          </w:p>
          <w:p>
            <w:pPr>
              <w:adjustRightInd w:val="0"/>
              <w:snapToGrid w:val="0"/>
              <w:jc w:val="left"/>
              <w:rPr>
                <w:rFonts w:hint="default" w:ascii="Times New Roman" w:hAnsi="Times New Roman" w:cs="Times New Roman"/>
              </w:rPr>
            </w:pPr>
            <w:r>
              <w:rPr>
                <w:rFonts w:hint="default" w:ascii="Times New Roman" w:hAnsi="Times New Roman" w:eastAsia="宋体" w:cs="Times New Roman"/>
                <w:color w:val="000000"/>
                <w:sz w:val="22"/>
              </w:rPr>
              <w:t>CPP Investments无最终控制人。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8"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 w:val="24"/>
                <w:szCs w:val="24"/>
              </w:rPr>
            </w:pPr>
          </w:p>
        </w:tc>
        <w:tc>
          <w:tcPr>
            <w:tcW w:w="1607" w:type="dxa"/>
            <w:vAlign w:val="center"/>
          </w:tcPr>
          <w:p>
            <w:pPr>
              <w:pStyle w:val="7"/>
              <w:adjustRightInd w:val="0"/>
              <w:snapToGrid w:val="0"/>
              <w:spacing w:after="0"/>
              <w:rPr>
                <w:rFonts w:hint="default" w:ascii="Times New Roman" w:hAnsi="Times New Roman" w:eastAsia="宋体" w:cs="Times New Roman"/>
                <w:bCs/>
                <w:color w:val="000000"/>
                <w:sz w:val="22"/>
                <w:szCs w:val="22"/>
                <w:lang w:val="en-US" w:eastAsia="zh-CN"/>
              </w:rPr>
            </w:pPr>
            <w:r>
              <w:rPr>
                <w:rFonts w:hint="default" w:ascii="Times New Roman" w:hAnsi="Times New Roman" w:cs="Times New Roman"/>
                <w:bCs/>
                <w:color w:val="000000"/>
                <w:sz w:val="22"/>
                <w:szCs w:val="22"/>
                <w:lang w:val="en-US" w:eastAsia="zh-CN"/>
              </w:rPr>
              <w:t>3.</w:t>
            </w:r>
            <w:r>
              <w:rPr>
                <w:rFonts w:ascii="Times New Roman" w:hAnsi="Times New Roman" w:cs="Times New Roman"/>
                <w:color w:val="000000"/>
                <w:sz w:val="22"/>
              </w:rPr>
              <w:t>Equinix</w:t>
            </w:r>
          </w:p>
        </w:tc>
        <w:tc>
          <w:tcPr>
            <w:tcW w:w="6093" w:type="dxa"/>
            <w:vAlign w:val="center"/>
          </w:tcPr>
          <w:p>
            <w:pPr>
              <w:widowControl/>
              <w:adjustRightInd w:val="0"/>
              <w:snapToGrid w:val="0"/>
              <w:jc w:val="left"/>
              <w:rPr>
                <w:rFonts w:ascii="Times New Roman" w:hAnsi="Times New Roman" w:eastAsia="宋体" w:cs="Times New Roman"/>
                <w:color w:val="000000"/>
                <w:sz w:val="22"/>
              </w:rPr>
            </w:pPr>
            <w:r>
              <w:rPr>
                <w:rFonts w:hint="default" w:ascii="Times New Roman" w:hAnsi="Times New Roman" w:eastAsia="宋体" w:cs="Times New Roman"/>
                <w:color w:val="000000"/>
                <w:sz w:val="22"/>
              </w:rPr>
              <w:t>Equinix于1998年6月22日成立于美国，其主要业务是提供供应商中立的数据中心、互连和前沿解决方案平台。</w:t>
            </w:r>
          </w:p>
          <w:p>
            <w:pPr>
              <w:widowControl/>
              <w:adjustRightInd w:val="0"/>
              <w:snapToGrid w:val="0"/>
              <w:jc w:val="left"/>
              <w:rPr>
                <w:rFonts w:hint="default" w:ascii="Times New Roman" w:hAnsi="Times New Roman" w:eastAsia="宋体" w:cs="Times New Roman"/>
                <w:color w:val="000000"/>
                <w:sz w:val="22"/>
              </w:rPr>
            </w:pPr>
            <w:r>
              <w:rPr>
                <w:rFonts w:hint="default" w:ascii="Times New Roman" w:hAnsi="Times New Roman" w:eastAsia="宋体" w:cs="Times New Roman"/>
                <w:color w:val="000000"/>
                <w:sz w:val="22"/>
              </w:rPr>
              <w:t>Equinix</w:t>
            </w:r>
            <w:r>
              <w:rPr>
                <w:rFonts w:hint="default" w:ascii="Times New Roman" w:hAnsi="Times New Roman" w:eastAsia="宋体" w:cs="Times New Roman"/>
                <w:color w:val="000000"/>
                <w:sz w:val="22"/>
                <w:lang w:eastAsia="zh-CN"/>
              </w:rPr>
              <w:t>无</w:t>
            </w:r>
            <w:r>
              <w:rPr>
                <w:rFonts w:hint="default" w:ascii="Times New Roman" w:hAnsi="Times New Roman" w:eastAsia="宋体" w:cs="Times New Roman"/>
                <w:color w:val="000000"/>
                <w:sz w:val="22"/>
              </w:rPr>
              <w:t>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restart"/>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简易案件理由（可以单选，</w:t>
            </w:r>
          </w:p>
          <w:p>
            <w:pPr>
              <w:pStyle w:val="7"/>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也可以多选）</w:t>
            </w: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FE"/>
            </w:r>
            <w:r>
              <w:rPr>
                <w:rFonts w:hint="default" w:ascii="Times New Roman" w:hAnsi="Times New Roman" w:cs="Times New Roman"/>
                <w:bCs/>
                <w:color w:val="000000"/>
                <w:sz w:val="22"/>
                <w:szCs w:val="22"/>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4" w:hRule="atLeast"/>
          <w:jc w:val="center"/>
        </w:trPr>
        <w:tc>
          <w:tcPr>
            <w:tcW w:w="1940" w:type="dxa"/>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备注</w:t>
            </w:r>
          </w:p>
        </w:tc>
        <w:tc>
          <w:tcPr>
            <w:tcW w:w="7700" w:type="dxa"/>
            <w:gridSpan w:val="2"/>
            <w:vAlign w:val="center"/>
          </w:tcPr>
          <w:p>
            <w:pPr>
              <w:pStyle w:val="7"/>
              <w:adjustRightInd w:val="0"/>
              <w:snapToGrid w:val="0"/>
              <w:spacing w:after="0"/>
              <w:rPr>
                <w:rFonts w:hint="default" w:ascii="Times New Roman" w:hAnsi="Times New Roman" w:eastAsia="宋体" w:cs="Times New Roman"/>
                <w:b w:val="0"/>
                <w:bCs/>
                <w:color w:val="000000"/>
                <w:sz w:val="22"/>
                <w:szCs w:val="22"/>
                <w:lang w:eastAsia="zh-CN"/>
              </w:rPr>
            </w:pPr>
          </w:p>
          <w:p>
            <w:pPr>
              <w:pStyle w:val="7"/>
              <w:adjustRightInd w:val="0"/>
              <w:snapToGrid w:val="0"/>
              <w:spacing w:after="0"/>
              <w:rPr>
                <w:rFonts w:hint="default" w:ascii="Times New Roman" w:hAnsi="Times New Roman" w:cs="Times New Roman"/>
                <w:b/>
                <w:color w:val="000000"/>
                <w:sz w:val="22"/>
                <w:szCs w:val="22"/>
              </w:rPr>
            </w:pPr>
            <w:r>
              <w:rPr>
                <w:rFonts w:hint="default" w:ascii="Times New Roman" w:hAnsi="Times New Roman" w:cs="Times New Roman"/>
                <w:b w:val="0"/>
                <w:bCs/>
                <w:color w:val="000000"/>
                <w:sz w:val="22"/>
                <w:szCs w:val="22"/>
                <w:lang w:eastAsia="zh-CN"/>
              </w:rPr>
              <w:t>不适用</w:t>
            </w:r>
          </w:p>
          <w:p>
            <w:pPr>
              <w:pStyle w:val="7"/>
              <w:adjustRightInd w:val="0"/>
              <w:snapToGrid w:val="0"/>
              <w:spacing w:after="0"/>
              <w:rPr>
                <w:rFonts w:hint="default" w:ascii="Times New Roman" w:hAnsi="Times New Roman" w:cs="Times New Roman"/>
                <w:bCs/>
                <w:color w:val="000000"/>
                <w:szCs w:val="21"/>
              </w:rPr>
            </w:pPr>
            <w:bookmarkStart w:id="0" w:name="_GoBack"/>
            <w:bookmarkEnd w:id="0"/>
          </w:p>
        </w:tc>
      </w:tr>
    </w:tbl>
    <w:p>
      <w:pPr>
        <w:rPr>
          <w:rFonts w:hint="default" w:ascii="Times New Roman" w:hAnsi="Times New Roman" w:cs="Times New Roman" w:eastAsiaTheme="minorEastAsia"/>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v:fill on="f" focussize="0,0"/>
              <v:stroke on="f" weight="0.5pt"/>
              <v:imagedata o:title=""/>
              <o:lock v:ext="edit" aspectratio="f"/>
              <v:textbox inset="0mm,0mm,0mm,0mm" style="mso-fit-shape-to-text:t;">
                <w:txbxContent>
                  <w:p>
                    <w:pPr>
                      <w:pStyle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30806B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D91CE7"/>
    <w:rsid w:val="0C6B60D7"/>
    <w:rsid w:val="0DE526A7"/>
    <w:rsid w:val="0E5C7E9D"/>
    <w:rsid w:val="0EEC791B"/>
    <w:rsid w:val="0F272A69"/>
    <w:rsid w:val="0FA436B7"/>
    <w:rsid w:val="0FBBC6D8"/>
    <w:rsid w:val="10C02711"/>
    <w:rsid w:val="12ED74AA"/>
    <w:rsid w:val="130B6D76"/>
    <w:rsid w:val="13236AF1"/>
    <w:rsid w:val="13D6674E"/>
    <w:rsid w:val="150C1E94"/>
    <w:rsid w:val="15D94F21"/>
    <w:rsid w:val="15E47716"/>
    <w:rsid w:val="1680064E"/>
    <w:rsid w:val="17436509"/>
    <w:rsid w:val="1AA11230"/>
    <w:rsid w:val="1B2D6269"/>
    <w:rsid w:val="1BF9394B"/>
    <w:rsid w:val="1BF9AB71"/>
    <w:rsid w:val="1C361957"/>
    <w:rsid w:val="1DA24124"/>
    <w:rsid w:val="1DFE30C6"/>
    <w:rsid w:val="1FC81833"/>
    <w:rsid w:val="20C2797E"/>
    <w:rsid w:val="215B059A"/>
    <w:rsid w:val="24606B41"/>
    <w:rsid w:val="246736EB"/>
    <w:rsid w:val="24840815"/>
    <w:rsid w:val="25C17900"/>
    <w:rsid w:val="261144B9"/>
    <w:rsid w:val="27B435B3"/>
    <w:rsid w:val="27ED6C10"/>
    <w:rsid w:val="281C288D"/>
    <w:rsid w:val="289A6D28"/>
    <w:rsid w:val="2B795B9C"/>
    <w:rsid w:val="2C0C7CCC"/>
    <w:rsid w:val="2CAC25FF"/>
    <w:rsid w:val="2DFF8C0F"/>
    <w:rsid w:val="2ECF569F"/>
    <w:rsid w:val="2F0902B7"/>
    <w:rsid w:val="3025112D"/>
    <w:rsid w:val="319E78FD"/>
    <w:rsid w:val="339B1A7D"/>
    <w:rsid w:val="34527864"/>
    <w:rsid w:val="356065C1"/>
    <w:rsid w:val="35741F7B"/>
    <w:rsid w:val="35927D49"/>
    <w:rsid w:val="36647739"/>
    <w:rsid w:val="36722108"/>
    <w:rsid w:val="37736187"/>
    <w:rsid w:val="37EC4B4C"/>
    <w:rsid w:val="3A7D25F4"/>
    <w:rsid w:val="3B6C128B"/>
    <w:rsid w:val="3BF42FA2"/>
    <w:rsid w:val="3C1B3849"/>
    <w:rsid w:val="3DBE0E38"/>
    <w:rsid w:val="3DCF2C73"/>
    <w:rsid w:val="3E3B322A"/>
    <w:rsid w:val="3E7DD45B"/>
    <w:rsid w:val="3EB7365E"/>
    <w:rsid w:val="3EBE2D3F"/>
    <w:rsid w:val="3ED7D01C"/>
    <w:rsid w:val="3EE73D98"/>
    <w:rsid w:val="3FFFF7A9"/>
    <w:rsid w:val="40D7777E"/>
    <w:rsid w:val="41D779C0"/>
    <w:rsid w:val="436E421B"/>
    <w:rsid w:val="43E353FE"/>
    <w:rsid w:val="45E92E66"/>
    <w:rsid w:val="46845245"/>
    <w:rsid w:val="46F216C3"/>
    <w:rsid w:val="48567BBA"/>
    <w:rsid w:val="48604985"/>
    <w:rsid w:val="48C332AF"/>
    <w:rsid w:val="49857111"/>
    <w:rsid w:val="498A72A0"/>
    <w:rsid w:val="4C824703"/>
    <w:rsid w:val="4CC01CF8"/>
    <w:rsid w:val="4CFD75DE"/>
    <w:rsid w:val="4D533669"/>
    <w:rsid w:val="4D611881"/>
    <w:rsid w:val="4DB67BAD"/>
    <w:rsid w:val="4DBF710D"/>
    <w:rsid w:val="4E585190"/>
    <w:rsid w:val="4E626EA5"/>
    <w:rsid w:val="4F7D0643"/>
    <w:rsid w:val="50CB3BDA"/>
    <w:rsid w:val="511505E7"/>
    <w:rsid w:val="5275657D"/>
    <w:rsid w:val="53701092"/>
    <w:rsid w:val="53DE53F7"/>
    <w:rsid w:val="549363D0"/>
    <w:rsid w:val="54D26C3D"/>
    <w:rsid w:val="54DD7AC9"/>
    <w:rsid w:val="55413F6A"/>
    <w:rsid w:val="558A3AEC"/>
    <w:rsid w:val="55FF4F39"/>
    <w:rsid w:val="563C0C84"/>
    <w:rsid w:val="567C47AD"/>
    <w:rsid w:val="568C7EFA"/>
    <w:rsid w:val="5721053D"/>
    <w:rsid w:val="5A320350"/>
    <w:rsid w:val="5A4E1134"/>
    <w:rsid w:val="5A8F5421"/>
    <w:rsid w:val="5AB377AC"/>
    <w:rsid w:val="5ADB7A9F"/>
    <w:rsid w:val="5BDF7AA8"/>
    <w:rsid w:val="5CC770F3"/>
    <w:rsid w:val="5DFF5221"/>
    <w:rsid w:val="5E606197"/>
    <w:rsid w:val="5E758AD3"/>
    <w:rsid w:val="5EFFEB53"/>
    <w:rsid w:val="5F5B3889"/>
    <w:rsid w:val="5F7404E1"/>
    <w:rsid w:val="60B85CFA"/>
    <w:rsid w:val="61AC7C2D"/>
    <w:rsid w:val="61F32521"/>
    <w:rsid w:val="63F6661D"/>
    <w:rsid w:val="64F94FB6"/>
    <w:rsid w:val="64FF0119"/>
    <w:rsid w:val="650C61D5"/>
    <w:rsid w:val="65183212"/>
    <w:rsid w:val="65AC0421"/>
    <w:rsid w:val="67090219"/>
    <w:rsid w:val="6754015D"/>
    <w:rsid w:val="67885F66"/>
    <w:rsid w:val="67D469E8"/>
    <w:rsid w:val="685D233B"/>
    <w:rsid w:val="69C0748D"/>
    <w:rsid w:val="6A7D30C3"/>
    <w:rsid w:val="6B9261CD"/>
    <w:rsid w:val="6B9A71CB"/>
    <w:rsid w:val="6BCB1BF4"/>
    <w:rsid w:val="6BCC0CB3"/>
    <w:rsid w:val="6C45316D"/>
    <w:rsid w:val="6CBF87B4"/>
    <w:rsid w:val="6DEFBAE0"/>
    <w:rsid w:val="6E372E5F"/>
    <w:rsid w:val="6E3FE820"/>
    <w:rsid w:val="6E786ABC"/>
    <w:rsid w:val="6F538C10"/>
    <w:rsid w:val="6FDF5799"/>
    <w:rsid w:val="710A7485"/>
    <w:rsid w:val="71394751"/>
    <w:rsid w:val="72131803"/>
    <w:rsid w:val="723024E6"/>
    <w:rsid w:val="73026B48"/>
    <w:rsid w:val="74566BED"/>
    <w:rsid w:val="74CE550B"/>
    <w:rsid w:val="74FA9F2D"/>
    <w:rsid w:val="755F49C7"/>
    <w:rsid w:val="767FE0B3"/>
    <w:rsid w:val="76AFBFF1"/>
    <w:rsid w:val="76CA40F3"/>
    <w:rsid w:val="77527FDF"/>
    <w:rsid w:val="77AFF4F6"/>
    <w:rsid w:val="77FF6A8C"/>
    <w:rsid w:val="77FFCFC3"/>
    <w:rsid w:val="78410251"/>
    <w:rsid w:val="793FB7A1"/>
    <w:rsid w:val="7A66B182"/>
    <w:rsid w:val="7A9C06E1"/>
    <w:rsid w:val="7AB91678"/>
    <w:rsid w:val="7B8F578C"/>
    <w:rsid w:val="7B9A66EF"/>
    <w:rsid w:val="7BE411F0"/>
    <w:rsid w:val="7BFFD823"/>
    <w:rsid w:val="7C7918BC"/>
    <w:rsid w:val="7EE72273"/>
    <w:rsid w:val="7EF7CDD2"/>
    <w:rsid w:val="7F7BEB9D"/>
    <w:rsid w:val="7F7E9182"/>
    <w:rsid w:val="7FBF2495"/>
    <w:rsid w:val="7FDCAB43"/>
    <w:rsid w:val="7FE15510"/>
    <w:rsid w:val="7FE91E78"/>
    <w:rsid w:val="7FFDE69B"/>
    <w:rsid w:val="9CBD0B1A"/>
    <w:rsid w:val="A7F9C1DE"/>
    <w:rsid w:val="A9AD231D"/>
    <w:rsid w:val="ADFAC79E"/>
    <w:rsid w:val="AE7E1E17"/>
    <w:rsid w:val="B593FB7D"/>
    <w:rsid w:val="B9B92832"/>
    <w:rsid w:val="BCB7048F"/>
    <w:rsid w:val="BCF89F06"/>
    <w:rsid w:val="BEAF73DD"/>
    <w:rsid w:val="BF8E36EE"/>
    <w:rsid w:val="BFDFB85E"/>
    <w:rsid w:val="BFF739EC"/>
    <w:rsid w:val="BFFD2FAD"/>
    <w:rsid w:val="C3F5BA26"/>
    <w:rsid w:val="D5DB8D8A"/>
    <w:rsid w:val="DDEFBA43"/>
    <w:rsid w:val="DEAABAA1"/>
    <w:rsid w:val="DEAFB90F"/>
    <w:rsid w:val="DF21B821"/>
    <w:rsid w:val="DFD76A11"/>
    <w:rsid w:val="E7FFE685"/>
    <w:rsid w:val="E9F71F09"/>
    <w:rsid w:val="EA9E6091"/>
    <w:rsid w:val="EAFD8D58"/>
    <w:rsid w:val="EB6C770B"/>
    <w:rsid w:val="EBCD181E"/>
    <w:rsid w:val="EF6E3F20"/>
    <w:rsid w:val="EFFFDD70"/>
    <w:rsid w:val="F1B778F1"/>
    <w:rsid w:val="F3FF743F"/>
    <w:rsid w:val="F4FF55F7"/>
    <w:rsid w:val="F67E1764"/>
    <w:rsid w:val="F7EFF966"/>
    <w:rsid w:val="F7FD911C"/>
    <w:rsid w:val="F9DF2CA6"/>
    <w:rsid w:val="FB3326CC"/>
    <w:rsid w:val="FBCE4D19"/>
    <w:rsid w:val="FBFE1D07"/>
    <w:rsid w:val="FD7D721B"/>
    <w:rsid w:val="FDBF10AA"/>
    <w:rsid w:val="FE5FA0A2"/>
    <w:rsid w:val="FEAEC70B"/>
    <w:rsid w:val="FF57FBD6"/>
    <w:rsid w:val="FFB70466"/>
    <w:rsid w:val="FFBC3961"/>
    <w:rsid w:val="FFCF003E"/>
    <w:rsid w:val="FFEE6CF6"/>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99"/>
  </w:style>
  <w:style w:type="paragraph" w:customStyle="1" w:styleId="4">
    <w:name w:val="名称2"/>
    <w:basedOn w:val="5"/>
    <w:qFormat/>
    <w:uiPriority w:val="0"/>
    <w:pPr>
      <w:spacing w:after="312" w:afterLines="100"/>
    </w:pPr>
    <w:rPr>
      <w:b w:val="0"/>
      <w:sz w:val="20"/>
    </w:rPr>
  </w:style>
  <w:style w:type="paragraph" w:customStyle="1" w:styleId="5">
    <w:name w:val="名称"/>
    <w:basedOn w:val="1"/>
    <w:qFormat/>
    <w:uiPriority w:val="0"/>
    <w:pPr>
      <w:jc w:val="center"/>
    </w:pPr>
    <w:rPr>
      <w:b/>
      <w:kern w:val="0"/>
      <w:sz w:val="44"/>
      <w:szCs w:val="20"/>
    </w:rPr>
  </w:style>
  <w:style w:type="paragraph" w:styleId="6">
    <w:name w:val="annotation text"/>
    <w:basedOn w:val="1"/>
    <w:qFormat/>
    <w:uiPriority w:val="0"/>
    <w:pPr>
      <w:jc w:val="left"/>
    </w:pPr>
  </w:style>
  <w:style w:type="paragraph" w:styleId="7">
    <w:name w:val="Body Text"/>
    <w:basedOn w:val="1"/>
    <w:next w:val="8"/>
    <w:link w:val="18"/>
    <w:unhideWhenUsed/>
    <w:qFormat/>
    <w:uiPriority w:val="99"/>
    <w:pPr>
      <w:spacing w:after="120"/>
    </w:pPr>
  </w:style>
  <w:style w:type="paragraph" w:styleId="8">
    <w:name w:val="Body Text First Indent"/>
    <w:basedOn w:val="7"/>
    <w:qFormat/>
    <w:uiPriority w:val="0"/>
    <w:pPr>
      <w:ind w:firstLine="420" w:firstLineChars="100"/>
    </w:pPr>
  </w:style>
  <w:style w:type="paragraph" w:styleId="9">
    <w:name w:val="footer"/>
    <w:basedOn w:val="1"/>
    <w:link w:val="17"/>
    <w:qFormat/>
    <w:uiPriority w:val="0"/>
    <w:pPr>
      <w:tabs>
        <w:tab w:val="center" w:pos="4153"/>
        <w:tab w:val="right" w:pos="8306"/>
      </w:tabs>
      <w:snapToGrid w:val="0"/>
      <w:jc w:val="left"/>
    </w:pPr>
    <w:rPr>
      <w:sz w:val="18"/>
      <w:szCs w:val="18"/>
    </w:rPr>
  </w:style>
  <w:style w:type="paragraph" w:styleId="10">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11">
    <w:name w:val="toc 2"/>
    <w:basedOn w:val="1"/>
    <w:next w:val="1"/>
    <w:qFormat/>
    <w:uiPriority w:val="0"/>
    <w:pPr>
      <w:ind w:left="420" w:leftChars="200"/>
    </w:pPr>
    <w:rPr>
      <w:rFonts w:ascii="Times New Roman" w:hAnsi="Times New Roman" w:eastAsia="宋体"/>
      <w:sz w:val="30"/>
    </w:r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customStyle="1" w:styleId="16">
    <w:name w:val="页眉 字符"/>
    <w:basedOn w:val="14"/>
    <w:link w:val="10"/>
    <w:qFormat/>
    <w:uiPriority w:val="0"/>
    <w:rPr>
      <w:rFonts w:ascii="Times New Roman" w:hAnsi="Times New Roman" w:eastAsia="宋体" w:cs="Times New Roman"/>
      <w:kern w:val="2"/>
      <w:sz w:val="18"/>
      <w:szCs w:val="18"/>
    </w:rPr>
  </w:style>
  <w:style w:type="character" w:customStyle="1" w:styleId="17">
    <w:name w:val="页脚 字符"/>
    <w:basedOn w:val="14"/>
    <w:link w:val="9"/>
    <w:qFormat/>
    <w:uiPriority w:val="0"/>
    <w:rPr>
      <w:rFonts w:ascii="Times New Roman" w:hAnsi="Times New Roman" w:eastAsia="宋体" w:cs="Times New Roman"/>
      <w:kern w:val="2"/>
      <w:sz w:val="18"/>
      <w:szCs w:val="18"/>
    </w:rPr>
  </w:style>
  <w:style w:type="character" w:customStyle="1" w:styleId="18">
    <w:name w:val="正文文本 字符"/>
    <w:basedOn w:val="14"/>
    <w:link w:val="7"/>
    <w:qFormat/>
    <w:uiPriority w:val="99"/>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9"/>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1707</Words>
  <Characters>1813</Characters>
  <Lines>1</Lines>
  <Paragraphs>1</Paragraphs>
  <TotalTime>5</TotalTime>
  <ScaleCrop>false</ScaleCrop>
  <LinksUpToDate>false</LinksUpToDate>
  <CharactersWithSpaces>1998</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2023-02-28T09:34:00Z</dcterms:created>
  <dc:creator>张斌（反垄断处）</dc:creator>
  <cp:lastModifiedBy>scj</cp:lastModifiedBy>
  <cp:lastPrinted>2024-08-02T17:27:00Z</cp:lastPrinted>
  <dcterms:modified xsi:type="dcterms:W3CDTF">2024-10-18T09:41:57Z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2F510BCF826C43248232D30198221AB7</vt:lpwstr>
  </property>
</Properties>
</file>