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1" w:name="_GoBack"/>
      <w:bookmarkEnd w:id="1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汤臣倍健股份有限公司收购广州广报盈龙置业有限责任公司股权案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bookmarkStart w:id="0" w:name="_Hlk179633851"/>
            <w:r>
              <w:rPr>
                <w:rFonts w:hint="eastAsia"/>
                <w:bCs/>
                <w:color w:val="000000"/>
                <w:sz w:val="22"/>
                <w:szCs w:val="22"/>
              </w:rPr>
              <w:t>汤臣倍健股份有限公司（“汤臣倍健”）与广州广报盈龙置业有限责任公司（“广报盈龙”）、广州开发区投资控股有限公司（“开发区投控”）、广州传媒控股有限公司（“广州传媒”）、广州市广报实业发展有限公司（“广报实业”）签署协议，汤臣倍健拟收购广报盈龙1</w:t>
            </w:r>
            <w:r>
              <w:rPr>
                <w:bCs/>
                <w:color w:val="000000"/>
                <w:sz w:val="22"/>
                <w:szCs w:val="22"/>
              </w:rPr>
              <w:t>00%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股权。广报盈龙主要从事写字楼开发和运营业务。交易前，开发区投控持有广报盈龙49%的股权，单独控制广报盈龙。交易后，汤臣倍健将持有广报盈龙100%股权，并单独控制广报盈龙。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bCs/>
                <w:color w:val="000000"/>
                <w:sz w:val="22"/>
                <w:szCs w:val="22"/>
                <w:lang w:bidi="ar"/>
              </w:rPr>
              <w:t>汤臣倍健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  <w:lang w:bidi="ar"/>
              </w:rPr>
              <w:t>汤臣倍健于2005年4月1日成立于广东省珠海市，为深圳交易所上市公司，主要业务为膳食营养补充剂的生产销售。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bCs/>
                <w:color w:val="000000"/>
                <w:sz w:val="22"/>
                <w:szCs w:val="22"/>
                <w:lang w:bidi="ar"/>
              </w:rPr>
              <w:t>汤臣倍健的最终控制人是自然人，其主要通过汤臣倍健从事膳食营养补充剂的生产销售。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bCs/>
                <w:color w:val="000000"/>
                <w:sz w:val="22"/>
                <w:szCs w:val="22"/>
                <w:lang w:bidi="ar"/>
              </w:rPr>
              <w:t>广报盈龙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  <w:lang w:bidi="ar"/>
              </w:rPr>
              <w:t>广报盈龙于2019年5月13日成立于广东省广州市，主要业务为写字楼开发、运营。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bCs/>
                <w:color w:val="000000"/>
                <w:sz w:val="22"/>
                <w:szCs w:val="22"/>
                <w:lang w:bidi="ar"/>
              </w:rPr>
              <w:t>广报盈龙的最终控制人是广州开发区控股集团有限公司，主要业务为热电投资、项目建设运营、房地产、金融及类金融等。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3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混合集中：</w:t>
            </w:r>
          </w:p>
          <w:p>
            <w:pPr>
              <w:pStyle w:val="7"/>
              <w:adjustRightInd w:val="0"/>
              <w:snapToGrid w:val="0"/>
              <w:rPr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</w:rPr>
              <w:t>2023年广州市写字楼开发和运营市场：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/>
                <w:bCs/>
                <w:color w:val="000000"/>
                <w:sz w:val="22"/>
                <w:szCs w:val="22"/>
              </w:rPr>
              <w:t>广报盈龙：</w:t>
            </w:r>
            <w:r>
              <w:rPr>
                <w:bCs/>
                <w:color w:val="000000"/>
                <w:sz w:val="22"/>
                <w:szCs w:val="22"/>
              </w:rPr>
              <w:t>0-5</w:t>
            </w:r>
            <w:r>
              <w:rPr>
                <w:rFonts w:hint="eastAsia"/>
                <w:bCs/>
                <w:color w:val="000000"/>
                <w:sz w:val="22"/>
                <w:szCs w:val="22"/>
              </w:rPr>
              <w:t>%</w:t>
            </w: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377CCC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E77204D"/>
    <w:rsid w:val="1FC81833"/>
    <w:rsid w:val="20C2797E"/>
    <w:rsid w:val="215B059A"/>
    <w:rsid w:val="23B4C27E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2FFFA4C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6FE46C7"/>
    <w:rsid w:val="37736187"/>
    <w:rsid w:val="37EC4B4C"/>
    <w:rsid w:val="37F46AA9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B6C24"/>
    <w:rsid w:val="3FFEAEB3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1F8798C"/>
    <w:rsid w:val="63F6661D"/>
    <w:rsid w:val="64F94FB6"/>
    <w:rsid w:val="64FF0119"/>
    <w:rsid w:val="650C61D5"/>
    <w:rsid w:val="65183212"/>
    <w:rsid w:val="65AC0421"/>
    <w:rsid w:val="66FCF352"/>
    <w:rsid w:val="67090219"/>
    <w:rsid w:val="670F0EC1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5FC0F7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5B69D1"/>
    <w:rsid w:val="77997569"/>
    <w:rsid w:val="77AFF4F6"/>
    <w:rsid w:val="77DFE97C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B93BEB"/>
    <w:rsid w:val="7BE411F0"/>
    <w:rsid w:val="7BFF430A"/>
    <w:rsid w:val="7BFFD823"/>
    <w:rsid w:val="7C7918BC"/>
    <w:rsid w:val="7EE72273"/>
    <w:rsid w:val="7EF7CDD2"/>
    <w:rsid w:val="7F4F7889"/>
    <w:rsid w:val="7F5A4555"/>
    <w:rsid w:val="7F7BEB9D"/>
    <w:rsid w:val="7FBF2495"/>
    <w:rsid w:val="7FCFF755"/>
    <w:rsid w:val="7FDCAB43"/>
    <w:rsid w:val="7FE15510"/>
    <w:rsid w:val="7FE3E5A7"/>
    <w:rsid w:val="7FE91E78"/>
    <w:rsid w:val="7FFDE69B"/>
    <w:rsid w:val="97A7370C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CFEDAB70"/>
    <w:rsid w:val="D5DB8D8A"/>
    <w:rsid w:val="D76F54F7"/>
    <w:rsid w:val="DDEFBA43"/>
    <w:rsid w:val="DE77CE63"/>
    <w:rsid w:val="DEAFB90F"/>
    <w:rsid w:val="DF21B821"/>
    <w:rsid w:val="DFD76A11"/>
    <w:rsid w:val="E7FFE685"/>
    <w:rsid w:val="E9DEC553"/>
    <w:rsid w:val="E9F71F09"/>
    <w:rsid w:val="EAFD8D58"/>
    <w:rsid w:val="EB6C770B"/>
    <w:rsid w:val="EBCD181E"/>
    <w:rsid w:val="EFFFDD70"/>
    <w:rsid w:val="F17F7A23"/>
    <w:rsid w:val="F1B778F1"/>
    <w:rsid w:val="F32D9669"/>
    <w:rsid w:val="F3BA9458"/>
    <w:rsid w:val="F3FF743F"/>
    <w:rsid w:val="F4FF55F7"/>
    <w:rsid w:val="F6EC7539"/>
    <w:rsid w:val="F7EFF966"/>
    <w:rsid w:val="F7FD911C"/>
    <w:rsid w:val="F9DF2CA6"/>
    <w:rsid w:val="FB3326CC"/>
    <w:rsid w:val="FB8FE7CA"/>
    <w:rsid w:val="FBCE4D19"/>
    <w:rsid w:val="FBFE1D07"/>
    <w:rsid w:val="FC7F23FF"/>
    <w:rsid w:val="FDBF10AA"/>
    <w:rsid w:val="FE5FA0A2"/>
    <w:rsid w:val="FEAEC70B"/>
    <w:rsid w:val="FEFFE8E9"/>
    <w:rsid w:val="FF57FBD6"/>
    <w:rsid w:val="FF5F68C3"/>
    <w:rsid w:val="FF6FD233"/>
    <w:rsid w:val="FF79F9CF"/>
    <w:rsid w:val="FFB70466"/>
    <w:rsid w:val="FFBC3961"/>
    <w:rsid w:val="FFBE6E5C"/>
    <w:rsid w:val="FFCF003E"/>
    <w:rsid w:val="FFD95A98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4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2023-03-08T17:34:00Z</dcterms:created>
  <dc:creator>张斌（反垄断处）</dc:creator>
  <cp:lastModifiedBy>scj</cp:lastModifiedBy>
  <cp:lastPrinted>2024-08-11T01:27:00Z</cp:lastPrinted>
  <dcterms:modified xsi:type="dcterms:W3CDTF">2024-10-25T15:32:42Z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