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jc w:val="center"/>
        <w:rPr>
          <w:rFonts w:ascii="黑体" w:hAnsi="黑体" w:eastAsia="黑体" w:cs="黑体"/>
          <w:bCs/>
          <w:kern w:val="0"/>
          <w:sz w:val="36"/>
          <w:szCs w:val="36"/>
          <w:lang w:val="en-GB"/>
        </w:rPr>
      </w:pPr>
      <w:r>
        <w:rPr>
          <w:rFonts w:hint="eastAsia" w:ascii="黑体" w:hAnsi="黑体" w:eastAsia="黑体" w:cs="黑体"/>
          <w:bCs/>
          <w:kern w:val="0"/>
          <w:sz w:val="36"/>
          <w:szCs w:val="36"/>
          <w:lang w:val="en-GB"/>
        </w:rPr>
        <w:t>经营者集中简易案件公示表</w:t>
      </w:r>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5"/>
        <w:gridCol w:w="1421"/>
        <w:gridCol w:w="53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1006" w:type="pct"/>
            <w:shd w:val="clear" w:color="auto" w:fill="D9D9D9"/>
            <w:vAlign w:val="center"/>
          </w:tcPr>
          <w:p>
            <w:pPr>
              <w:widowControl/>
              <w:adjustRightInd w:val="0"/>
              <w:snapToGrid w:val="0"/>
              <w:jc w:val="left"/>
              <w:rPr>
                <w:rFonts w:ascii="Times New Roman" w:hAnsi="Times New Roman" w:eastAsia="宋体" w:cs="Times New Roman"/>
                <w:bCs/>
                <w:color w:val="000000"/>
                <w:kern w:val="0"/>
                <w:sz w:val="22"/>
                <w:lang w:val="en-GB"/>
              </w:rPr>
            </w:pPr>
            <w:r>
              <w:rPr>
                <w:rFonts w:ascii="Times New Roman" w:hAnsi="Times New Roman" w:eastAsia="宋体" w:cs="Times New Roman"/>
                <w:bCs/>
                <w:color w:val="000000"/>
                <w:kern w:val="0"/>
                <w:sz w:val="22"/>
                <w:lang w:val="en-GB"/>
              </w:rPr>
              <w:t>案件名称</w:t>
            </w:r>
          </w:p>
        </w:tc>
        <w:tc>
          <w:tcPr>
            <w:tcW w:w="3994" w:type="pct"/>
            <w:gridSpan w:val="2"/>
            <w:vAlign w:val="center"/>
          </w:tcPr>
          <w:p>
            <w:pPr>
              <w:widowControl/>
              <w:adjustRightInd w:val="0"/>
              <w:snapToGrid w:val="0"/>
              <w:jc w:val="left"/>
              <w:rPr>
                <w:rFonts w:ascii="Times New Roman" w:hAnsi="Times New Roman" w:eastAsia="宋体" w:cs="Times New Roman"/>
                <w:bCs/>
                <w:color w:val="000000"/>
                <w:kern w:val="0"/>
                <w:sz w:val="22"/>
                <w:lang w:val="en-GB"/>
              </w:rPr>
            </w:pPr>
            <w:r>
              <w:rPr>
                <w:rFonts w:ascii="Times New Roman" w:hAnsi="Times New Roman" w:eastAsia="宋体" w:cs="Times New Roman"/>
                <w:bCs/>
                <w:color w:val="000000"/>
                <w:kern w:val="0"/>
                <w:sz w:val="22"/>
                <w:lang w:val="en-GB"/>
              </w:rPr>
              <w:t>安赛乐米塔尔股份公司与中国东方集团控股有限公司新设合营企业案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trPr>
        <w:tc>
          <w:tcPr>
            <w:tcW w:w="1006" w:type="pct"/>
            <w:shd w:val="clear" w:color="auto" w:fill="D9D9D9"/>
            <w:vAlign w:val="center"/>
          </w:tcPr>
          <w:p>
            <w:pPr>
              <w:widowControl/>
              <w:adjustRightInd w:val="0"/>
              <w:snapToGrid w:val="0"/>
              <w:jc w:val="left"/>
              <w:rPr>
                <w:rFonts w:ascii="Times New Roman" w:hAnsi="Times New Roman" w:eastAsia="宋体" w:cs="Times New Roman"/>
                <w:bCs/>
                <w:color w:val="000000"/>
                <w:kern w:val="0"/>
                <w:sz w:val="22"/>
                <w:lang w:val="en-GB"/>
              </w:rPr>
            </w:pPr>
            <w:r>
              <w:rPr>
                <w:rFonts w:ascii="Times New Roman" w:hAnsi="Times New Roman" w:eastAsia="宋体" w:cs="Times New Roman"/>
                <w:bCs/>
                <w:color w:val="000000"/>
                <w:kern w:val="0"/>
                <w:sz w:val="22"/>
                <w:lang w:val="en-GB"/>
              </w:rPr>
              <w:t>交易概况（限200字内）</w:t>
            </w:r>
          </w:p>
        </w:tc>
        <w:tc>
          <w:tcPr>
            <w:tcW w:w="3994" w:type="pct"/>
            <w:gridSpan w:val="2"/>
            <w:vAlign w:val="center"/>
          </w:tcPr>
          <w:p>
            <w:pPr>
              <w:widowControl/>
              <w:adjustRightInd w:val="0"/>
              <w:snapToGrid w:val="0"/>
              <w:jc w:val="left"/>
              <w:rPr>
                <w:rFonts w:ascii="Times New Roman" w:hAnsi="Times New Roman" w:eastAsia="宋体" w:cs="Times New Roman"/>
                <w:kern w:val="0"/>
                <w:sz w:val="22"/>
                <w:lang w:val="en-GB"/>
              </w:rPr>
            </w:pPr>
            <w:r>
              <w:rPr>
                <w:rFonts w:ascii="Times New Roman" w:hAnsi="Times New Roman" w:eastAsia="宋体" w:cs="Times New Roman"/>
                <w:kern w:val="0"/>
                <w:sz w:val="22"/>
                <w:lang w:val="en-GB"/>
              </w:rPr>
              <w:t>安赛乐米塔尔股份公司（“安赛乐米塔尔”）与中国东方集团控股有限公司（“中国东方”）</w:t>
            </w:r>
            <w:r>
              <w:rPr>
                <w:rFonts w:hint="eastAsia" w:ascii="宋体" w:hAnsi="宋体" w:eastAsia="宋体" w:cs="宋体"/>
                <w:kern w:val="0"/>
                <w:sz w:val="22"/>
                <w:lang w:val="en-GB"/>
              </w:rPr>
              <w:t>签署协议新设</w:t>
            </w:r>
            <w:r>
              <w:rPr>
                <w:rFonts w:hint="eastAsia" w:ascii="Times New Roman" w:hAnsi="Times New Roman" w:eastAsia="宋体" w:cs="Times New Roman"/>
                <w:kern w:val="0"/>
                <w:sz w:val="22"/>
                <w:lang w:val="en-GB"/>
              </w:rPr>
              <w:t>合营企业</w:t>
            </w:r>
            <w:r>
              <w:rPr>
                <w:rFonts w:ascii="Times New Roman" w:hAnsi="Times New Roman" w:eastAsia="宋体" w:cs="Times New Roman"/>
                <w:kern w:val="0"/>
                <w:sz w:val="22"/>
                <w:lang w:val="en-GB"/>
              </w:rPr>
              <w:t>。合营企业主要从事</w:t>
            </w:r>
            <w:r>
              <w:rPr>
                <w:rFonts w:hint="eastAsia" w:ascii="Times New Roman" w:hAnsi="Times New Roman" w:eastAsia="宋体" w:cs="Times New Roman"/>
                <w:kern w:val="0"/>
                <w:sz w:val="22"/>
                <w:lang w:val="en-GB"/>
              </w:rPr>
              <w:t>热轧无取向电工钢卷板和</w:t>
            </w:r>
            <w:r>
              <w:rPr>
                <w:rFonts w:ascii="Times New Roman" w:hAnsi="Times New Roman" w:eastAsia="宋体" w:cs="Times New Roman"/>
                <w:kern w:val="0"/>
                <w:sz w:val="22"/>
                <w:lang w:val="en-GB"/>
              </w:rPr>
              <w:t>无取向电工钢</w:t>
            </w:r>
            <w:r>
              <w:rPr>
                <w:rFonts w:hint="eastAsia" w:ascii="Times New Roman" w:hAnsi="Times New Roman" w:eastAsia="宋体" w:cs="Times New Roman"/>
                <w:kern w:val="0"/>
                <w:sz w:val="22"/>
                <w:lang w:val="en-GB"/>
              </w:rPr>
              <w:t>的</w:t>
            </w:r>
            <w:r>
              <w:rPr>
                <w:rFonts w:ascii="Times New Roman" w:hAnsi="Times New Roman" w:eastAsia="宋体" w:cs="Times New Roman"/>
                <w:kern w:val="0"/>
                <w:sz w:val="22"/>
                <w:lang w:val="en-GB"/>
              </w:rPr>
              <w:t>制造与供应业务。交易后，安赛乐米塔尔和中国东方将分别持有合营企业50%的股权，共同控制合营企业。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1006" w:type="pct"/>
            <w:vMerge w:val="restart"/>
            <w:shd w:val="clear" w:color="auto" w:fill="D9D9D9"/>
            <w:vAlign w:val="center"/>
          </w:tcPr>
          <w:p>
            <w:pPr>
              <w:widowControl/>
              <w:adjustRightInd w:val="0"/>
              <w:snapToGrid w:val="0"/>
              <w:jc w:val="left"/>
              <w:rPr>
                <w:rFonts w:ascii="Times New Roman" w:hAnsi="Times New Roman" w:eastAsia="宋体" w:cs="Times New Roman"/>
                <w:bCs/>
                <w:color w:val="000000"/>
                <w:kern w:val="0"/>
                <w:sz w:val="22"/>
                <w:lang w:val="en-GB"/>
              </w:rPr>
            </w:pPr>
            <w:r>
              <w:rPr>
                <w:rFonts w:ascii="Times New Roman" w:hAnsi="Times New Roman" w:eastAsia="宋体" w:cs="Times New Roman"/>
                <w:bCs/>
                <w:color w:val="000000"/>
                <w:kern w:val="0"/>
                <w:sz w:val="22"/>
                <w:lang w:val="en-GB"/>
              </w:rPr>
              <w:t>参与集中的经营者简介（每个限100字以内）</w:t>
            </w:r>
          </w:p>
        </w:tc>
        <w:tc>
          <w:tcPr>
            <w:tcW w:w="834" w:type="pct"/>
            <w:vAlign w:val="center"/>
          </w:tcPr>
          <w:p>
            <w:pPr>
              <w:widowControl/>
              <w:adjustRightInd w:val="0"/>
              <w:snapToGrid w:val="0"/>
              <w:jc w:val="left"/>
              <w:rPr>
                <w:rFonts w:ascii="Times New Roman" w:hAnsi="Times New Roman" w:eastAsia="宋体" w:cs="Times New Roman"/>
                <w:bCs/>
                <w:color w:val="000000"/>
                <w:kern w:val="0"/>
                <w:sz w:val="22"/>
                <w:lang w:val="en-GB"/>
              </w:rPr>
            </w:pPr>
            <w:r>
              <w:rPr>
                <w:rFonts w:ascii="Times New Roman" w:hAnsi="Times New Roman" w:eastAsia="宋体" w:cs="Times New Roman"/>
                <w:bCs/>
                <w:color w:val="000000"/>
                <w:kern w:val="0"/>
                <w:sz w:val="22"/>
                <w:lang w:val="en-GB"/>
              </w:rPr>
              <w:t>1.安赛乐米塔尔</w:t>
            </w:r>
          </w:p>
        </w:tc>
        <w:tc>
          <w:tcPr>
            <w:tcW w:w="3160" w:type="pct"/>
            <w:vAlign w:val="center"/>
          </w:tcPr>
          <w:p>
            <w:pPr>
              <w:widowControl/>
              <w:adjustRightInd w:val="0"/>
              <w:snapToGrid w:val="0"/>
              <w:jc w:val="left"/>
              <w:rPr>
                <w:rFonts w:ascii="Times New Roman" w:hAnsi="Times New Roman" w:eastAsia="宋体" w:cs="Times New Roman"/>
                <w:bCs/>
                <w:color w:val="000000"/>
                <w:kern w:val="0"/>
                <w:sz w:val="22"/>
                <w:lang w:val="en-GB"/>
              </w:rPr>
            </w:pPr>
            <w:r>
              <w:rPr>
                <w:rFonts w:ascii="Times New Roman" w:hAnsi="Times New Roman" w:eastAsia="宋体" w:cs="Times New Roman"/>
                <w:bCs/>
                <w:color w:val="000000"/>
                <w:kern w:val="0"/>
                <w:sz w:val="22"/>
                <w:lang w:val="en-GB"/>
              </w:rPr>
              <w:t>安赛乐米塔尔于2001年6月8日成立于卢森堡，为纽约、阿姆斯特丹、巴黎、卢森堡、西班牙巴塞罗那、毕尔巴鄂、马德里和瓦伦西亚证券交易所上市公司，主要</w:t>
            </w:r>
            <w:r>
              <w:rPr>
                <w:rFonts w:hint="eastAsia" w:ascii="Times New Roman" w:hAnsi="Times New Roman" w:eastAsia="宋体" w:cs="Times New Roman"/>
                <w:bCs/>
                <w:color w:val="000000"/>
                <w:kern w:val="0"/>
                <w:sz w:val="22"/>
                <w:lang w:val="en-GB"/>
              </w:rPr>
              <w:t>从事</w:t>
            </w:r>
            <w:r>
              <w:rPr>
                <w:rFonts w:ascii="Times New Roman" w:hAnsi="Times New Roman" w:eastAsia="宋体" w:cs="Times New Roman"/>
                <w:bCs/>
                <w:color w:val="000000"/>
                <w:kern w:val="0"/>
                <w:sz w:val="22"/>
                <w:lang w:val="en-GB"/>
              </w:rPr>
              <w:t>钢铁和</w:t>
            </w:r>
            <w:r>
              <w:rPr>
                <w:rFonts w:hint="eastAsia" w:ascii="Times New Roman" w:hAnsi="Times New Roman" w:eastAsia="宋体" w:cs="Times New Roman"/>
                <w:bCs/>
                <w:color w:val="000000"/>
                <w:kern w:val="0"/>
                <w:sz w:val="22"/>
                <w:lang w:val="en-GB"/>
              </w:rPr>
              <w:t>采矿业务</w:t>
            </w:r>
            <w:r>
              <w:rPr>
                <w:rFonts w:ascii="Times New Roman" w:hAnsi="Times New Roman" w:eastAsia="宋体" w:cs="Times New Roman"/>
                <w:bCs/>
                <w:color w:val="000000"/>
                <w:kern w:val="0"/>
                <w:sz w:val="22"/>
                <w:lang w:val="en-GB"/>
              </w:rPr>
              <w:t>。</w:t>
            </w:r>
          </w:p>
          <w:p>
            <w:pPr>
              <w:widowControl/>
              <w:adjustRightInd w:val="0"/>
              <w:snapToGrid w:val="0"/>
              <w:jc w:val="left"/>
              <w:rPr>
                <w:rFonts w:ascii="Times New Roman" w:hAnsi="Times New Roman" w:eastAsia="宋体" w:cs="Times New Roman"/>
                <w:bCs/>
                <w:color w:val="000000"/>
                <w:kern w:val="0"/>
                <w:sz w:val="22"/>
                <w:lang w:val="en-GB"/>
              </w:rPr>
            </w:pPr>
            <w:r>
              <w:rPr>
                <w:rFonts w:ascii="Times New Roman" w:hAnsi="Times New Roman" w:eastAsia="宋体" w:cs="Times New Roman"/>
                <w:bCs/>
                <w:color w:val="000000"/>
                <w:kern w:val="0"/>
                <w:sz w:val="22"/>
                <w:lang w:val="en-GB"/>
              </w:rPr>
              <w:t>安赛乐米塔尔</w:t>
            </w:r>
            <w:r>
              <w:rPr>
                <w:rFonts w:hint="eastAsia" w:ascii="Times New Roman" w:hAnsi="Times New Roman" w:eastAsia="宋体" w:cs="Times New Roman"/>
                <w:bCs/>
                <w:color w:val="000000"/>
                <w:kern w:val="0"/>
                <w:sz w:val="22"/>
                <w:lang w:val="en-GB"/>
              </w:rPr>
              <w:t>没有</w:t>
            </w:r>
            <w:r>
              <w:rPr>
                <w:rFonts w:ascii="Times New Roman" w:hAnsi="Times New Roman" w:eastAsia="宋体" w:cs="Times New Roman"/>
                <w:bCs/>
                <w:color w:val="000000"/>
                <w:kern w:val="0"/>
                <w:sz w:val="22"/>
                <w:lang w:val="en-GB"/>
              </w:rPr>
              <w:t>最终控制人。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006" w:type="pct"/>
            <w:vMerge w:val="continue"/>
            <w:shd w:val="clear" w:color="auto" w:fill="D9D9D9"/>
            <w:vAlign w:val="center"/>
          </w:tcPr>
          <w:p>
            <w:pPr>
              <w:widowControl/>
              <w:adjustRightInd w:val="0"/>
              <w:snapToGrid w:val="0"/>
              <w:jc w:val="left"/>
              <w:rPr>
                <w:rFonts w:ascii="Times New Roman" w:hAnsi="Times New Roman" w:eastAsia="宋体" w:cs="Times New Roman"/>
                <w:bCs/>
                <w:color w:val="000000"/>
                <w:kern w:val="0"/>
                <w:sz w:val="22"/>
                <w:lang w:val="en-GB"/>
              </w:rPr>
            </w:pPr>
          </w:p>
        </w:tc>
        <w:tc>
          <w:tcPr>
            <w:tcW w:w="834" w:type="pct"/>
            <w:vAlign w:val="center"/>
          </w:tcPr>
          <w:p>
            <w:pPr>
              <w:widowControl/>
              <w:adjustRightInd w:val="0"/>
              <w:snapToGrid w:val="0"/>
              <w:jc w:val="left"/>
              <w:rPr>
                <w:rFonts w:ascii="Times New Roman" w:hAnsi="Times New Roman" w:eastAsia="宋体" w:cs="Times New Roman"/>
                <w:bCs/>
                <w:color w:val="000000"/>
                <w:kern w:val="0"/>
                <w:sz w:val="22"/>
                <w:lang w:val="en-GB"/>
              </w:rPr>
            </w:pPr>
            <w:r>
              <w:rPr>
                <w:rFonts w:ascii="Times New Roman" w:hAnsi="Times New Roman" w:eastAsia="宋体" w:cs="Times New Roman"/>
                <w:bCs/>
                <w:color w:val="000000"/>
                <w:kern w:val="0"/>
                <w:sz w:val="22"/>
                <w:lang w:val="en-GB"/>
              </w:rPr>
              <w:t>2.中国东方</w:t>
            </w:r>
          </w:p>
        </w:tc>
        <w:tc>
          <w:tcPr>
            <w:tcW w:w="3160" w:type="pct"/>
            <w:vAlign w:val="center"/>
          </w:tcPr>
          <w:p>
            <w:pPr>
              <w:widowControl/>
              <w:adjustRightInd w:val="0"/>
              <w:snapToGrid w:val="0"/>
              <w:jc w:val="left"/>
              <w:rPr>
                <w:rFonts w:ascii="Times New Roman" w:hAnsi="Times New Roman" w:eastAsia="宋体" w:cs="Times New Roman"/>
                <w:bCs/>
                <w:color w:val="000000"/>
                <w:kern w:val="0"/>
                <w:sz w:val="22"/>
                <w:lang w:val="en-GB"/>
              </w:rPr>
            </w:pPr>
            <w:r>
              <w:rPr>
                <w:rFonts w:ascii="Times New Roman" w:hAnsi="Times New Roman" w:eastAsia="宋体" w:cs="Times New Roman"/>
                <w:bCs/>
                <w:color w:val="000000"/>
                <w:kern w:val="0"/>
                <w:sz w:val="22"/>
                <w:lang w:val="en-GB"/>
              </w:rPr>
              <w:t>中国东方于2003年11月3日成立于百慕大群岛，为香港联合交易所上市公司，主要业务为钢铁产品的制造及销售，钢铁产品、铁矿石及相关原材料的贸易，电力设备的销售及房地产业务等。</w:t>
            </w:r>
          </w:p>
          <w:p>
            <w:pPr>
              <w:widowControl/>
              <w:adjustRightInd w:val="0"/>
              <w:snapToGrid w:val="0"/>
              <w:jc w:val="left"/>
              <w:rPr>
                <w:rFonts w:ascii="Times New Roman" w:hAnsi="Times New Roman" w:eastAsia="宋体" w:cs="Times New Roman"/>
                <w:bCs/>
                <w:color w:val="000000"/>
                <w:kern w:val="0"/>
                <w:sz w:val="22"/>
                <w:lang w:val="en-GB"/>
              </w:rPr>
            </w:pPr>
            <w:r>
              <w:rPr>
                <w:rFonts w:ascii="Times New Roman" w:hAnsi="Times New Roman" w:eastAsia="宋体" w:cs="Times New Roman"/>
                <w:bCs/>
                <w:color w:val="000000"/>
                <w:kern w:val="0"/>
                <w:sz w:val="22"/>
                <w:lang w:val="en-GB"/>
              </w:rPr>
              <w:t>中国东方的最终控制人为</w:t>
            </w:r>
            <w:r>
              <w:rPr>
                <w:rFonts w:hint="eastAsia" w:ascii="Times New Roman" w:hAnsi="Times New Roman" w:eastAsia="宋体" w:cs="Times New Roman"/>
                <w:bCs/>
                <w:color w:val="000000"/>
                <w:kern w:val="0"/>
                <w:sz w:val="22"/>
                <w:lang w:val="en-GB"/>
              </w:rPr>
              <w:t>一名中国籍自然人和安赛乐米塔尔。该中国籍自然人</w:t>
            </w:r>
            <w:r>
              <w:rPr>
                <w:rFonts w:ascii="Times New Roman" w:hAnsi="Times New Roman" w:eastAsia="宋体" w:cs="Times New Roman"/>
                <w:bCs/>
                <w:color w:val="000000"/>
                <w:kern w:val="0"/>
                <w:sz w:val="22"/>
                <w:lang w:val="en-GB"/>
              </w:rPr>
              <w:t>主要</w:t>
            </w:r>
            <w:r>
              <w:rPr>
                <w:rFonts w:hint="eastAsia" w:ascii="Times New Roman" w:hAnsi="Times New Roman" w:eastAsia="宋体" w:cs="Times New Roman"/>
                <w:bCs/>
                <w:color w:val="000000"/>
                <w:kern w:val="0"/>
                <w:sz w:val="22"/>
                <w:lang w:val="en-GB"/>
              </w:rPr>
              <w:t>从事</w:t>
            </w:r>
            <w:r>
              <w:rPr>
                <w:rFonts w:ascii="Times New Roman" w:hAnsi="Times New Roman" w:eastAsia="宋体" w:cs="Times New Roman"/>
                <w:bCs/>
                <w:color w:val="000000"/>
                <w:kern w:val="0"/>
                <w:sz w:val="22"/>
                <w:lang w:val="en-GB"/>
              </w:rPr>
              <w:t>钢铁产品的制造及销售</w:t>
            </w:r>
            <w:r>
              <w:rPr>
                <w:rFonts w:hint="eastAsia" w:ascii="Times New Roman" w:hAnsi="Times New Roman" w:eastAsia="宋体" w:cs="Times New Roman"/>
                <w:bCs/>
                <w:color w:val="000000"/>
                <w:kern w:val="0"/>
                <w:sz w:val="22"/>
                <w:lang w:val="en-GB"/>
              </w:rPr>
              <w:t>业务，</w:t>
            </w:r>
            <w:r>
              <w:rPr>
                <w:rFonts w:ascii="Times New Roman" w:hAnsi="Times New Roman" w:eastAsia="宋体" w:cs="Times New Roman"/>
                <w:bCs/>
                <w:color w:val="000000"/>
                <w:kern w:val="0"/>
                <w:sz w:val="22"/>
                <w:lang w:val="en-GB"/>
              </w:rPr>
              <w:t>安赛乐米塔尔主要</w:t>
            </w:r>
            <w:r>
              <w:rPr>
                <w:rFonts w:hint="eastAsia" w:ascii="Times New Roman" w:hAnsi="Times New Roman" w:eastAsia="宋体" w:cs="Times New Roman"/>
                <w:bCs/>
                <w:color w:val="000000"/>
                <w:kern w:val="0"/>
                <w:sz w:val="22"/>
                <w:lang w:val="en-GB"/>
              </w:rPr>
              <w:t>业务如上所述。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006" w:type="pct"/>
            <w:vMerge w:val="restart"/>
            <w:shd w:val="clear" w:color="auto" w:fill="D9D9D9"/>
            <w:vAlign w:val="center"/>
          </w:tcPr>
          <w:p>
            <w:pPr>
              <w:widowControl/>
              <w:adjustRightInd w:val="0"/>
              <w:snapToGrid w:val="0"/>
              <w:jc w:val="left"/>
              <w:rPr>
                <w:rFonts w:ascii="Times New Roman" w:hAnsi="Times New Roman" w:eastAsia="宋体" w:cs="Times New Roman"/>
                <w:bCs/>
                <w:color w:val="000000"/>
                <w:kern w:val="0"/>
                <w:sz w:val="22"/>
                <w:lang w:val="en-GB"/>
              </w:rPr>
            </w:pPr>
            <w:r>
              <w:rPr>
                <w:rFonts w:ascii="Times New Roman" w:hAnsi="Times New Roman" w:eastAsia="宋体" w:cs="Times New Roman"/>
                <w:bCs/>
                <w:color w:val="000000"/>
                <w:kern w:val="0"/>
                <w:sz w:val="22"/>
                <w:lang w:val="en-GB"/>
              </w:rPr>
              <w:t>简易案件理由（可以单选，也可以多选）</w:t>
            </w:r>
          </w:p>
        </w:tc>
        <w:tc>
          <w:tcPr>
            <w:tcW w:w="3994" w:type="pct"/>
            <w:gridSpan w:val="2"/>
            <w:vAlign w:val="center"/>
          </w:tcPr>
          <w:p>
            <w:pPr>
              <w:widowControl/>
              <w:adjustRightInd w:val="0"/>
              <w:snapToGrid w:val="0"/>
              <w:jc w:val="left"/>
              <w:rPr>
                <w:rFonts w:ascii="Times New Roman" w:hAnsi="Times New Roman" w:eastAsia="宋体" w:cs="Times New Roman"/>
                <w:bCs/>
                <w:color w:val="000000"/>
                <w:kern w:val="0"/>
                <w:sz w:val="22"/>
                <w:lang w:val="en-GB"/>
              </w:rPr>
            </w:pPr>
            <w:r>
              <w:rPr>
                <w:rFonts w:ascii="Times New Roman" w:hAnsi="Times New Roman" w:eastAsia="宋体" w:cs="Times New Roman"/>
                <w:bCs/>
                <w:color w:val="000000"/>
                <w:kern w:val="0"/>
                <w:sz w:val="22"/>
                <w:lang w:val="en-GB"/>
              </w:rPr>
              <w:sym w:font="Wingdings" w:char="00A8"/>
            </w:r>
            <w:r>
              <w:rPr>
                <w:rFonts w:ascii="Times New Roman" w:hAnsi="Times New Roman" w:eastAsia="宋体" w:cs="Times New Roman"/>
                <w:bCs/>
                <w:color w:val="000000"/>
                <w:kern w:val="0"/>
                <w:sz w:val="22"/>
                <w:lang w:val="en-GB"/>
              </w:rPr>
              <w:t xml:space="preserve"> 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006" w:type="pct"/>
            <w:vMerge w:val="continue"/>
            <w:shd w:val="clear" w:color="auto" w:fill="D9D9D9"/>
            <w:vAlign w:val="center"/>
          </w:tcPr>
          <w:p>
            <w:pPr>
              <w:widowControl/>
              <w:adjustRightInd w:val="0"/>
              <w:snapToGrid w:val="0"/>
              <w:jc w:val="left"/>
              <w:rPr>
                <w:rFonts w:ascii="Times New Roman" w:hAnsi="Times New Roman" w:eastAsia="宋体" w:cs="Times New Roman"/>
                <w:bCs/>
                <w:color w:val="000000"/>
                <w:kern w:val="0"/>
                <w:sz w:val="22"/>
                <w:lang w:val="en-GB"/>
              </w:rPr>
            </w:pPr>
          </w:p>
        </w:tc>
        <w:tc>
          <w:tcPr>
            <w:tcW w:w="3994" w:type="pct"/>
            <w:gridSpan w:val="2"/>
            <w:vAlign w:val="center"/>
          </w:tcPr>
          <w:p>
            <w:pPr>
              <w:widowControl/>
              <w:adjustRightInd w:val="0"/>
              <w:snapToGrid w:val="0"/>
              <w:jc w:val="left"/>
              <w:rPr>
                <w:rFonts w:ascii="Times New Roman" w:hAnsi="Times New Roman" w:eastAsia="宋体" w:cs="Times New Roman"/>
                <w:bCs/>
                <w:color w:val="000000"/>
                <w:kern w:val="0"/>
                <w:sz w:val="22"/>
                <w:lang w:val="en-GB"/>
              </w:rPr>
            </w:pPr>
            <w:r>
              <w:rPr>
                <w:rFonts w:ascii="Times New Roman" w:hAnsi="Times New Roman" w:eastAsia="宋体" w:cs="Times New Roman"/>
                <w:b/>
                <w:color w:val="000000"/>
                <w:kern w:val="0"/>
                <w:sz w:val="22"/>
                <w:lang w:val="en-GB"/>
              </w:rPr>
              <w:sym w:font="Wingdings" w:char="00FE"/>
            </w:r>
            <w:r>
              <w:rPr>
                <w:rFonts w:ascii="Times New Roman" w:hAnsi="Times New Roman" w:eastAsia="宋体" w:cs="Times New Roman"/>
                <w:bCs/>
                <w:color w:val="000000"/>
                <w:kern w:val="0"/>
                <w:sz w:val="22"/>
                <w:lang w:val="en-GB"/>
              </w:rPr>
              <w:t xml:space="preserve"> 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006" w:type="pct"/>
            <w:vMerge w:val="continue"/>
            <w:shd w:val="clear" w:color="auto" w:fill="D9D9D9"/>
            <w:vAlign w:val="center"/>
          </w:tcPr>
          <w:p>
            <w:pPr>
              <w:widowControl/>
              <w:adjustRightInd w:val="0"/>
              <w:snapToGrid w:val="0"/>
              <w:jc w:val="left"/>
              <w:rPr>
                <w:rFonts w:ascii="Times New Roman" w:hAnsi="Times New Roman" w:eastAsia="宋体" w:cs="Times New Roman"/>
                <w:bCs/>
                <w:color w:val="000000"/>
                <w:kern w:val="0"/>
                <w:sz w:val="22"/>
                <w:lang w:val="en-GB"/>
              </w:rPr>
            </w:pPr>
          </w:p>
        </w:tc>
        <w:tc>
          <w:tcPr>
            <w:tcW w:w="3994" w:type="pct"/>
            <w:gridSpan w:val="2"/>
            <w:vAlign w:val="center"/>
          </w:tcPr>
          <w:p>
            <w:pPr>
              <w:widowControl/>
              <w:adjustRightInd w:val="0"/>
              <w:snapToGrid w:val="0"/>
              <w:jc w:val="left"/>
              <w:rPr>
                <w:rFonts w:ascii="Times New Roman" w:hAnsi="Times New Roman" w:eastAsia="宋体" w:cs="Times New Roman"/>
                <w:bCs/>
                <w:color w:val="000000"/>
                <w:kern w:val="0"/>
                <w:sz w:val="22"/>
                <w:lang w:val="en-GB"/>
              </w:rPr>
            </w:pPr>
            <w:r>
              <w:rPr>
                <w:rFonts w:ascii="Times New Roman" w:hAnsi="Times New Roman" w:eastAsia="宋体" w:cs="Times New Roman"/>
                <w:bCs/>
                <w:color w:val="000000"/>
                <w:kern w:val="0"/>
                <w:sz w:val="22"/>
                <w:lang w:val="en-GB"/>
              </w:rPr>
              <w:sym w:font="Wingdings" w:char="00A8"/>
            </w:r>
            <w:r>
              <w:rPr>
                <w:rFonts w:ascii="Times New Roman" w:hAnsi="Times New Roman" w:eastAsia="宋体" w:cs="Times New Roman"/>
                <w:bCs/>
                <w:color w:val="000000"/>
                <w:kern w:val="0"/>
                <w:sz w:val="22"/>
                <w:lang w:val="en-GB"/>
              </w:rPr>
              <w:t xml:space="preserve">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006" w:type="pct"/>
            <w:vMerge w:val="continue"/>
            <w:shd w:val="clear" w:color="auto" w:fill="D9D9D9"/>
            <w:vAlign w:val="center"/>
          </w:tcPr>
          <w:p>
            <w:pPr>
              <w:widowControl/>
              <w:adjustRightInd w:val="0"/>
              <w:snapToGrid w:val="0"/>
              <w:jc w:val="left"/>
              <w:rPr>
                <w:rFonts w:ascii="Times New Roman" w:hAnsi="Times New Roman" w:eastAsia="宋体" w:cs="Times New Roman"/>
                <w:bCs/>
                <w:color w:val="000000"/>
                <w:kern w:val="0"/>
                <w:sz w:val="22"/>
                <w:lang w:val="en-GB"/>
              </w:rPr>
            </w:pPr>
          </w:p>
        </w:tc>
        <w:tc>
          <w:tcPr>
            <w:tcW w:w="3994" w:type="pct"/>
            <w:gridSpan w:val="2"/>
            <w:vAlign w:val="center"/>
          </w:tcPr>
          <w:p>
            <w:pPr>
              <w:widowControl/>
              <w:adjustRightInd w:val="0"/>
              <w:snapToGrid w:val="0"/>
              <w:jc w:val="left"/>
              <w:rPr>
                <w:rFonts w:ascii="Times New Roman" w:hAnsi="Times New Roman" w:eastAsia="宋体" w:cs="Times New Roman"/>
                <w:bCs/>
                <w:color w:val="000000"/>
                <w:kern w:val="0"/>
                <w:sz w:val="22"/>
                <w:lang w:val="en-GB"/>
              </w:rPr>
            </w:pPr>
            <w:r>
              <w:rPr>
                <w:rFonts w:ascii="Times New Roman" w:hAnsi="Times New Roman" w:eastAsia="宋体" w:cs="Times New Roman"/>
                <w:bCs/>
                <w:color w:val="000000"/>
                <w:kern w:val="0"/>
                <w:sz w:val="22"/>
                <w:lang w:val="en-GB"/>
              </w:rPr>
              <w:sym w:font="Wingdings" w:char="00A8"/>
            </w:r>
            <w:r>
              <w:rPr>
                <w:rFonts w:ascii="Times New Roman" w:hAnsi="Times New Roman" w:eastAsia="宋体" w:cs="Times New Roman"/>
                <w:bCs/>
                <w:color w:val="000000"/>
                <w:kern w:val="0"/>
                <w:sz w:val="22"/>
                <w:lang w:val="en-GB"/>
              </w:rPr>
              <w:t xml:space="preserve">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006" w:type="pct"/>
            <w:vMerge w:val="continue"/>
            <w:shd w:val="clear" w:color="auto" w:fill="D9D9D9"/>
            <w:vAlign w:val="center"/>
          </w:tcPr>
          <w:p>
            <w:pPr>
              <w:widowControl/>
              <w:adjustRightInd w:val="0"/>
              <w:snapToGrid w:val="0"/>
              <w:jc w:val="left"/>
              <w:rPr>
                <w:rFonts w:ascii="Times New Roman" w:hAnsi="Times New Roman" w:eastAsia="宋体" w:cs="Times New Roman"/>
                <w:bCs/>
                <w:color w:val="000000"/>
                <w:kern w:val="0"/>
                <w:sz w:val="22"/>
                <w:lang w:val="en-GB"/>
              </w:rPr>
            </w:pPr>
          </w:p>
        </w:tc>
        <w:tc>
          <w:tcPr>
            <w:tcW w:w="3994" w:type="pct"/>
            <w:gridSpan w:val="2"/>
            <w:vAlign w:val="center"/>
          </w:tcPr>
          <w:p>
            <w:pPr>
              <w:widowControl/>
              <w:adjustRightInd w:val="0"/>
              <w:snapToGrid w:val="0"/>
              <w:jc w:val="left"/>
              <w:rPr>
                <w:rFonts w:ascii="Times New Roman" w:hAnsi="Times New Roman" w:eastAsia="宋体" w:cs="Times New Roman"/>
                <w:bCs/>
                <w:color w:val="000000"/>
                <w:kern w:val="0"/>
                <w:sz w:val="22"/>
                <w:lang w:val="en-GB"/>
              </w:rPr>
            </w:pPr>
            <w:r>
              <w:rPr>
                <w:rFonts w:ascii="Times New Roman" w:hAnsi="Times New Roman" w:eastAsia="宋体" w:cs="Times New Roman"/>
                <w:bCs/>
                <w:color w:val="000000"/>
                <w:kern w:val="0"/>
                <w:sz w:val="22"/>
                <w:lang w:val="en-GB"/>
              </w:rPr>
              <w:sym w:font="Wingdings" w:char="00A8"/>
            </w:r>
            <w:r>
              <w:rPr>
                <w:rFonts w:ascii="Times New Roman" w:hAnsi="Times New Roman" w:eastAsia="宋体" w:cs="Times New Roman"/>
                <w:bCs/>
                <w:color w:val="000000"/>
                <w:kern w:val="0"/>
                <w:sz w:val="22"/>
                <w:lang w:val="en-GB"/>
              </w:rP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006" w:type="pct"/>
            <w:vMerge w:val="continue"/>
            <w:shd w:val="clear" w:color="auto" w:fill="D9D9D9"/>
            <w:vAlign w:val="center"/>
          </w:tcPr>
          <w:p>
            <w:pPr>
              <w:widowControl/>
              <w:adjustRightInd w:val="0"/>
              <w:snapToGrid w:val="0"/>
              <w:jc w:val="left"/>
              <w:rPr>
                <w:rFonts w:ascii="Times New Roman" w:hAnsi="Times New Roman" w:eastAsia="宋体" w:cs="Times New Roman"/>
                <w:bCs/>
                <w:color w:val="000000"/>
                <w:kern w:val="0"/>
                <w:sz w:val="22"/>
                <w:lang w:val="en-GB"/>
              </w:rPr>
            </w:pPr>
          </w:p>
        </w:tc>
        <w:tc>
          <w:tcPr>
            <w:tcW w:w="3994" w:type="pct"/>
            <w:gridSpan w:val="2"/>
            <w:vAlign w:val="center"/>
          </w:tcPr>
          <w:p>
            <w:pPr>
              <w:widowControl/>
              <w:adjustRightInd w:val="0"/>
              <w:snapToGrid w:val="0"/>
              <w:jc w:val="left"/>
              <w:rPr>
                <w:rFonts w:ascii="Times New Roman" w:hAnsi="Times New Roman" w:eastAsia="宋体" w:cs="Times New Roman"/>
                <w:bCs/>
                <w:color w:val="000000"/>
                <w:kern w:val="0"/>
                <w:sz w:val="22"/>
                <w:lang w:val="en-GB"/>
              </w:rPr>
            </w:pPr>
            <w:r>
              <w:rPr>
                <w:rFonts w:ascii="Times New Roman" w:hAnsi="Times New Roman" w:eastAsia="宋体" w:cs="Times New Roman"/>
                <w:bCs/>
                <w:color w:val="000000"/>
                <w:kern w:val="0"/>
                <w:sz w:val="22"/>
                <w:lang w:val="en-GB"/>
              </w:rPr>
              <w:sym w:font="Wingdings" w:char="00A8"/>
            </w:r>
            <w:r>
              <w:rPr>
                <w:rFonts w:ascii="Times New Roman" w:hAnsi="Times New Roman" w:eastAsia="宋体" w:cs="Times New Roman"/>
                <w:bCs/>
                <w:color w:val="000000"/>
                <w:kern w:val="0"/>
                <w:sz w:val="22"/>
                <w:lang w:val="en-GB"/>
              </w:rPr>
              <w:t xml:space="preserve">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0" w:hRule="atLeast"/>
        </w:trPr>
        <w:tc>
          <w:tcPr>
            <w:tcW w:w="1006" w:type="pct"/>
            <w:shd w:val="clear" w:color="auto" w:fill="D9D9D9"/>
            <w:vAlign w:val="center"/>
          </w:tcPr>
          <w:p>
            <w:pPr>
              <w:widowControl/>
              <w:adjustRightInd w:val="0"/>
              <w:snapToGrid w:val="0"/>
              <w:jc w:val="left"/>
              <w:rPr>
                <w:rFonts w:ascii="Times New Roman" w:hAnsi="Times New Roman" w:eastAsia="宋体" w:cs="Times New Roman"/>
                <w:bCs/>
                <w:color w:val="000000"/>
                <w:kern w:val="0"/>
                <w:sz w:val="22"/>
                <w:lang w:val="en-GB"/>
              </w:rPr>
            </w:pPr>
            <w:r>
              <w:rPr>
                <w:rFonts w:ascii="Times New Roman" w:hAnsi="Times New Roman" w:eastAsia="宋体" w:cs="Times New Roman"/>
                <w:bCs/>
                <w:color w:val="000000"/>
                <w:kern w:val="0"/>
                <w:sz w:val="22"/>
                <w:lang w:val="en-GB"/>
              </w:rPr>
              <w:t>备注</w:t>
            </w:r>
          </w:p>
        </w:tc>
        <w:tc>
          <w:tcPr>
            <w:tcW w:w="3994" w:type="pct"/>
            <w:gridSpan w:val="2"/>
            <w:vAlign w:val="center"/>
          </w:tcPr>
          <w:p>
            <w:pPr>
              <w:widowControl/>
              <w:adjustRightInd w:val="0"/>
              <w:snapToGrid w:val="0"/>
              <w:jc w:val="left"/>
              <w:rPr>
                <w:rFonts w:ascii="Times New Roman" w:hAnsi="Times New Roman" w:eastAsia="宋体" w:cs="Times New Roman"/>
                <w:b/>
                <w:color w:val="000000"/>
                <w:kern w:val="0"/>
                <w:sz w:val="22"/>
                <w:lang w:val="en-GB"/>
              </w:rPr>
            </w:pPr>
            <w:r>
              <w:rPr>
                <w:rFonts w:hint="eastAsia" w:ascii="Times New Roman" w:hAnsi="Times New Roman" w:eastAsia="宋体" w:cs="Times New Roman"/>
                <w:b/>
                <w:color w:val="000000"/>
                <w:kern w:val="0"/>
                <w:sz w:val="22"/>
                <w:lang w:val="en-GB"/>
              </w:rPr>
              <w:t>纵向关联</w:t>
            </w:r>
            <w:r>
              <w:rPr>
                <w:rFonts w:ascii="Times New Roman" w:hAnsi="Times New Roman" w:eastAsia="宋体" w:cs="Times New Roman"/>
                <w:b/>
                <w:color w:val="000000"/>
                <w:kern w:val="0"/>
                <w:sz w:val="22"/>
                <w:lang w:val="en-GB"/>
              </w:rPr>
              <w:t>：</w:t>
            </w:r>
          </w:p>
          <w:p>
            <w:pPr>
              <w:widowControl/>
              <w:adjustRightInd w:val="0"/>
              <w:snapToGrid w:val="0"/>
              <w:jc w:val="left"/>
              <w:rPr>
                <w:rFonts w:ascii="Times New Roman" w:hAnsi="Times New Roman" w:eastAsia="宋体" w:cs="Times New Roman"/>
                <w:b/>
                <w:color w:val="000000"/>
                <w:kern w:val="0"/>
                <w:sz w:val="22"/>
                <w:lang w:val="en-GB"/>
              </w:rPr>
            </w:pPr>
            <w:r>
              <w:rPr>
                <w:rFonts w:hint="eastAsia" w:ascii="Times New Roman" w:hAnsi="Times New Roman" w:eastAsia="宋体" w:cs="Times New Roman"/>
                <w:b/>
                <w:color w:val="000000"/>
                <w:kern w:val="0"/>
                <w:sz w:val="22"/>
                <w:lang w:val="en-GB"/>
              </w:rPr>
              <w:t>上游：2023年中国境内板坯市场</w:t>
            </w:r>
          </w:p>
          <w:p>
            <w:pPr>
              <w:widowControl/>
              <w:adjustRightInd w:val="0"/>
              <w:snapToGrid w:val="0"/>
              <w:jc w:val="left"/>
              <w:rPr>
                <w:rFonts w:ascii="Times New Roman" w:hAnsi="Times New Roman" w:eastAsia="宋体" w:cs="Times New Roman"/>
                <w:bCs/>
                <w:color w:val="000000"/>
                <w:kern w:val="0"/>
                <w:sz w:val="22"/>
                <w:lang w:val="en-GB"/>
              </w:rPr>
            </w:pPr>
            <w:r>
              <w:rPr>
                <w:rFonts w:hint="eastAsia" w:ascii="Times New Roman" w:hAnsi="Times New Roman" w:eastAsia="宋体" w:cs="Times New Roman"/>
                <w:bCs/>
                <w:color w:val="000000"/>
                <w:kern w:val="0"/>
                <w:sz w:val="22"/>
                <w:lang w:val="en-GB"/>
              </w:rPr>
              <w:t>中国东方：0-5%</w:t>
            </w:r>
          </w:p>
          <w:p>
            <w:pPr>
              <w:widowControl/>
              <w:adjustRightInd w:val="0"/>
              <w:snapToGrid w:val="0"/>
              <w:jc w:val="left"/>
              <w:rPr>
                <w:rFonts w:ascii="Times New Roman" w:hAnsi="Times New Roman" w:eastAsia="宋体" w:cs="Times New Roman"/>
                <w:b/>
                <w:color w:val="000000"/>
                <w:kern w:val="0"/>
                <w:sz w:val="22"/>
                <w:lang w:val="en-GB"/>
              </w:rPr>
            </w:pPr>
            <w:r>
              <w:rPr>
                <w:rFonts w:hint="eastAsia" w:ascii="Times New Roman" w:hAnsi="Times New Roman" w:eastAsia="宋体" w:cs="Times New Roman"/>
                <w:b/>
                <w:color w:val="000000"/>
                <w:kern w:val="0"/>
                <w:sz w:val="22"/>
                <w:lang w:val="en-GB"/>
              </w:rPr>
              <w:t>中游：2023年中国境内热轧无取向电工钢卷板市场</w:t>
            </w:r>
          </w:p>
          <w:p>
            <w:pPr>
              <w:widowControl/>
              <w:adjustRightInd w:val="0"/>
              <w:snapToGrid w:val="0"/>
              <w:jc w:val="left"/>
              <w:rPr>
                <w:rFonts w:ascii="Times New Roman" w:hAnsi="Times New Roman" w:eastAsia="宋体" w:cs="Times New Roman"/>
                <w:bCs/>
                <w:color w:val="000000"/>
                <w:kern w:val="0"/>
                <w:sz w:val="22"/>
                <w:lang w:val="en-GB"/>
              </w:rPr>
            </w:pPr>
            <w:r>
              <w:rPr>
                <w:rFonts w:hint="eastAsia" w:ascii="Times New Roman" w:hAnsi="Times New Roman" w:eastAsia="宋体" w:cs="Times New Roman"/>
                <w:bCs/>
                <w:color w:val="000000"/>
                <w:kern w:val="0"/>
                <w:sz w:val="22"/>
                <w:lang w:val="en-GB"/>
              </w:rPr>
              <w:t>合营企业（预估）：5-10%</w:t>
            </w:r>
          </w:p>
          <w:p>
            <w:pPr>
              <w:widowControl/>
              <w:adjustRightInd w:val="0"/>
              <w:snapToGrid w:val="0"/>
              <w:jc w:val="left"/>
              <w:rPr>
                <w:rFonts w:ascii="Times New Roman" w:hAnsi="Times New Roman" w:eastAsia="宋体" w:cs="Times New Roman"/>
                <w:b/>
                <w:color w:val="000000"/>
                <w:kern w:val="0"/>
                <w:sz w:val="22"/>
                <w:lang w:val="en-GB"/>
              </w:rPr>
            </w:pPr>
            <w:r>
              <w:rPr>
                <w:rFonts w:hint="eastAsia" w:ascii="Times New Roman" w:hAnsi="Times New Roman" w:eastAsia="宋体" w:cs="Times New Roman"/>
                <w:b/>
                <w:color w:val="000000"/>
                <w:kern w:val="0"/>
                <w:sz w:val="22"/>
                <w:lang w:val="en-GB"/>
              </w:rPr>
              <w:t>下游：</w:t>
            </w:r>
            <w:r>
              <w:rPr>
                <w:rFonts w:ascii="Times New Roman" w:hAnsi="Times New Roman" w:eastAsia="宋体" w:cs="Times New Roman"/>
                <w:b/>
                <w:color w:val="000000"/>
                <w:kern w:val="0"/>
                <w:sz w:val="22"/>
                <w:lang w:val="en-GB"/>
              </w:rPr>
              <w:t>2023</w:t>
            </w:r>
            <w:r>
              <w:rPr>
                <w:rFonts w:hint="eastAsia" w:ascii="Times New Roman" w:hAnsi="Times New Roman" w:eastAsia="宋体" w:cs="Times New Roman"/>
                <w:b/>
                <w:color w:val="000000"/>
                <w:kern w:val="0"/>
                <w:sz w:val="22"/>
                <w:lang w:val="en-GB"/>
              </w:rPr>
              <w:t>年中国境内无取向电工钢市场：</w:t>
            </w:r>
          </w:p>
          <w:p>
            <w:pPr>
              <w:widowControl/>
              <w:adjustRightInd w:val="0"/>
              <w:snapToGrid w:val="0"/>
              <w:jc w:val="left"/>
              <w:rPr>
                <w:rFonts w:ascii="Times New Roman" w:hAnsi="Times New Roman" w:eastAsia="宋体" w:cs="Times New Roman"/>
                <w:bCs/>
                <w:color w:val="000000"/>
                <w:kern w:val="0"/>
                <w:sz w:val="22"/>
                <w:lang w:val="en-GB"/>
              </w:rPr>
            </w:pPr>
            <w:r>
              <w:rPr>
                <w:rFonts w:ascii="Times New Roman" w:hAnsi="Times New Roman" w:eastAsia="宋体" w:cs="Times New Roman"/>
                <w:bCs/>
                <w:color w:val="000000"/>
                <w:kern w:val="0"/>
                <w:sz w:val="22"/>
                <w:lang w:val="en-GB"/>
              </w:rPr>
              <w:t>安赛乐米塔尔：0-5%</w:t>
            </w:r>
            <w:r>
              <w:rPr>
                <w:rFonts w:hint="eastAsia" w:ascii="Times New Roman" w:hAnsi="Times New Roman" w:eastAsia="宋体" w:cs="Times New Roman"/>
                <w:bCs/>
                <w:color w:val="000000"/>
                <w:kern w:val="0"/>
                <w:sz w:val="22"/>
                <w:lang w:val="en-GB" w:eastAsia="zh-CN"/>
              </w:rPr>
              <w:t>；</w:t>
            </w:r>
            <w:r>
              <w:rPr>
                <w:rFonts w:hint="eastAsia" w:ascii="Times New Roman" w:hAnsi="Times New Roman" w:eastAsia="宋体" w:cs="Times New Roman"/>
                <w:bCs/>
                <w:color w:val="000000"/>
                <w:kern w:val="0"/>
                <w:sz w:val="22"/>
                <w:lang w:val="en-GB"/>
              </w:rPr>
              <w:t>合营企业（预估）：</w:t>
            </w:r>
            <w:r>
              <w:rPr>
                <w:rFonts w:hint="eastAsia" w:ascii="Times New Roman" w:hAnsi="Times New Roman" w:eastAsia="宋体" w:cs="Times New Roman"/>
                <w:bCs/>
                <w:color w:val="000000"/>
                <w:kern w:val="0"/>
                <w:sz w:val="22"/>
                <w:lang w:val="en-US" w:eastAsia="zh-CN"/>
              </w:rPr>
              <w:t>0-5</w:t>
            </w:r>
            <w:bookmarkStart w:id="0" w:name="_GoBack"/>
            <w:bookmarkEnd w:id="0"/>
            <w:r>
              <w:rPr>
                <w:rFonts w:hint="eastAsia" w:ascii="Times New Roman" w:hAnsi="Times New Roman" w:eastAsia="宋体" w:cs="Times New Roman"/>
                <w:bCs/>
                <w:color w:val="000000"/>
                <w:kern w:val="0"/>
                <w:sz w:val="22"/>
                <w:lang w:val="en-GB"/>
              </w:rPr>
              <w:t>%</w:t>
            </w:r>
          </w:p>
        </w:tc>
      </w:tr>
    </w:tbl>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080E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0030101010101"/>
    <w:charset w:val="86"/>
    <w:family w:val="auto"/>
    <w:pitch w:val="default"/>
    <w:sig w:usb0="00000001" w:usb1="080E0000" w:usb2="00000000" w:usb3="00000000" w:csb0="00040000"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PMingLiU">
    <w:altName w:val="文泉驿微米黑"/>
    <w:panose1 w:val="02010601000101010101"/>
    <w:charset w:val="88"/>
    <w:family w:val="roman"/>
    <w:pitch w:val="default"/>
    <w:sig w:usb0="00000000" w:usb1="00000000" w:usb2="00000016" w:usb3="00000000" w:csb0="00100001" w:csb1="00000000"/>
  </w:font>
  <w:font w:name="PMingLiU">
    <w:altName w:val="文泉驿微米黑"/>
    <w:panose1 w:val="00000000000000000000"/>
    <w:charset w:val="86"/>
    <w:family w:val="auto"/>
    <w:pitch w:val="default"/>
    <w:sig w:usb0="00000000" w:usb1="00000000" w:usb2="00000000" w:usb3="00000000" w:csb0="00000000" w:csb1="00000000"/>
  </w:font>
  <w:font w:name="PMingLiu">
    <w:altName w:val="仿宋_GB2312"/>
    <w:panose1 w:val="00000000000000000000"/>
    <w:charset w:val="00"/>
    <w:family w:val="auto"/>
    <w:pitch w:val="default"/>
    <w:sig w:usb0="00000000" w:usb1="00000000" w:usb2="00000000" w:usb3="00000000" w:csb0="00000000" w:csb1="00000000"/>
  </w:font>
  <w:font w:name="Arial Black">
    <w:altName w:val="Times New Roman"/>
    <w:panose1 w:val="020B0A04020102020204"/>
    <w:charset w:val="00"/>
    <w:family w:val="swiss"/>
    <w:pitch w:val="default"/>
    <w:sig w:usb0="00000000" w:usb1="00000000" w:usb2="00000000" w:usb3="00000000" w:csb0="0000009F" w:csb1="00000000"/>
  </w:font>
  <w:font w:name="仿宋_GB2312">
    <w:panose1 w:val="02010609030101010101"/>
    <w:charset w:val="86"/>
    <w:family w:val="auto"/>
    <w:pitch w:val="default"/>
    <w:sig w:usb0="00000001" w:usb1="080E0000" w:usb2="00000000" w:usb3="00000000" w:csb0="00040000" w:csb1="00000000"/>
  </w:font>
  <w:font w:name="Arial">
    <w:altName w:val="Times New Roman"/>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9F52AB"/>
    <w:multiLevelType w:val="multilevel"/>
    <w:tmpl w:val="099F52AB"/>
    <w:lvl w:ilvl="0" w:tentative="0">
      <w:start w:val="1"/>
      <w:numFmt w:val="none"/>
      <w:pStyle w:val="59"/>
      <w:suff w:val="nothing"/>
      <w:lvlText w:val="%1"/>
      <w:lvlJc w:val="left"/>
      <w:pPr>
        <w:ind w:left="0" w:firstLine="0"/>
      </w:pPr>
      <w:rPr>
        <w:rFonts w:hint="default"/>
      </w:rPr>
    </w:lvl>
    <w:lvl w:ilvl="1" w:tentative="0">
      <w:start w:val="1"/>
      <w:numFmt w:val="decimal"/>
      <w:pStyle w:val="60"/>
      <w:lvlText w:val="%1%2."/>
      <w:lvlJc w:val="left"/>
      <w:pPr>
        <w:tabs>
          <w:tab w:val="left" w:pos="709"/>
        </w:tabs>
        <w:ind w:left="709" w:hanging="709"/>
      </w:pPr>
      <w:rPr>
        <w:rFonts w:hint="default"/>
      </w:rPr>
    </w:lvl>
    <w:lvl w:ilvl="2" w:tentative="0">
      <w:start w:val="1"/>
      <w:numFmt w:val="decimal"/>
      <w:pStyle w:val="61"/>
      <w:lvlText w:val="%2.%3"/>
      <w:lvlJc w:val="left"/>
      <w:pPr>
        <w:tabs>
          <w:tab w:val="left" w:pos="709"/>
        </w:tabs>
        <w:ind w:left="709" w:hanging="709"/>
      </w:pPr>
      <w:rPr>
        <w:rFonts w:hint="default"/>
      </w:rPr>
    </w:lvl>
    <w:lvl w:ilvl="3" w:tentative="0">
      <w:start w:val="1"/>
      <w:numFmt w:val="lowerLetter"/>
      <w:pStyle w:val="62"/>
      <w:lvlText w:val="(%4)"/>
      <w:lvlJc w:val="left"/>
      <w:pPr>
        <w:tabs>
          <w:tab w:val="left" w:pos="1418"/>
        </w:tabs>
        <w:ind w:left="1418" w:hanging="709"/>
      </w:pPr>
      <w:rPr>
        <w:rFonts w:hint="default"/>
      </w:rPr>
    </w:lvl>
    <w:lvl w:ilvl="4" w:tentative="0">
      <w:start w:val="1"/>
      <w:numFmt w:val="lowerRoman"/>
      <w:pStyle w:val="63"/>
      <w:lvlText w:val="(%5)"/>
      <w:lvlJc w:val="left"/>
      <w:pPr>
        <w:tabs>
          <w:tab w:val="left" w:pos="2126"/>
        </w:tabs>
        <w:ind w:left="2126" w:hanging="708"/>
      </w:pPr>
      <w:rPr>
        <w:rFonts w:hint="default"/>
      </w:rPr>
    </w:lvl>
    <w:lvl w:ilvl="5" w:tentative="0">
      <w:start w:val="1"/>
      <w:numFmt w:val="upperLetter"/>
      <w:pStyle w:val="64"/>
      <w:lvlText w:val="(%6)"/>
      <w:lvlJc w:val="left"/>
      <w:pPr>
        <w:tabs>
          <w:tab w:val="left" w:pos="2835"/>
        </w:tabs>
        <w:ind w:left="2835" w:hanging="709"/>
      </w:pPr>
      <w:rPr>
        <w:rFonts w:hint="default"/>
      </w:rPr>
    </w:lvl>
    <w:lvl w:ilvl="6" w:tentative="0">
      <w:start w:val="1"/>
      <w:numFmt w:val="decimal"/>
      <w:lvlText w:val="(%7)"/>
      <w:lvlJc w:val="left"/>
      <w:pPr>
        <w:tabs>
          <w:tab w:val="left" w:pos="3544"/>
        </w:tabs>
        <w:ind w:left="3544" w:hanging="709"/>
      </w:pPr>
      <w:rPr>
        <w:rFonts w:hint="default"/>
      </w:rPr>
    </w:lvl>
    <w:lvl w:ilvl="7" w:tentative="0">
      <w:start w:val="1"/>
      <w:numFmt w:val="none"/>
      <w:lvlRestart w:val="0"/>
      <w:suff w:val="nothing"/>
      <w:lvlText w:val=""/>
      <w:lvlJc w:val="left"/>
      <w:pPr>
        <w:ind w:left="0" w:firstLine="0"/>
      </w:pPr>
      <w:rPr>
        <w:rFonts w:hint="default"/>
      </w:rPr>
    </w:lvl>
    <w:lvl w:ilvl="8" w:tentative="0">
      <w:start w:val="1"/>
      <w:numFmt w:val="none"/>
      <w:lvlRestart w:val="0"/>
      <w:suff w:val="nothing"/>
      <w:lvlText w:val=""/>
      <w:lvlJc w:val="left"/>
      <w:pPr>
        <w:ind w:left="0" w:firstLine="0"/>
      </w:pPr>
      <w:rPr>
        <w:rFonts w:hint="default"/>
      </w:rPr>
    </w:lvl>
  </w:abstractNum>
  <w:abstractNum w:abstractNumId="1">
    <w:nsid w:val="21BE28D7"/>
    <w:multiLevelType w:val="multilevel"/>
    <w:tmpl w:val="21BE28D7"/>
    <w:lvl w:ilvl="0" w:tentative="0">
      <w:start w:val="1"/>
      <w:numFmt w:val="upperLetter"/>
      <w:pStyle w:val="58"/>
      <w:lvlText w:val="%1"/>
      <w:lvlJc w:val="left"/>
      <w:pPr>
        <w:tabs>
          <w:tab w:val="left" w:pos="709"/>
        </w:tabs>
        <w:ind w:left="709" w:hanging="709"/>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2">
    <w:nsid w:val="40622118"/>
    <w:multiLevelType w:val="multilevel"/>
    <w:tmpl w:val="40622118"/>
    <w:lvl w:ilvl="0" w:tentative="0">
      <w:start w:val="1"/>
      <w:numFmt w:val="decimal"/>
      <w:pStyle w:val="11"/>
      <w:lvlText w:val="%1."/>
      <w:lvlJc w:val="left"/>
      <w:pPr>
        <w:tabs>
          <w:tab w:val="left" w:pos="709"/>
        </w:tabs>
        <w:ind w:left="709" w:hanging="709"/>
      </w:pPr>
      <w:rPr>
        <w:rFonts w:hint="default"/>
      </w:rPr>
    </w:lvl>
    <w:lvl w:ilvl="1" w:tentative="0">
      <w:start w:val="1"/>
      <w:numFmt w:val="lowerLetter"/>
      <w:lvlRestart w:val="0"/>
      <w:pStyle w:val="10"/>
      <w:lvlText w:val="(%2)"/>
      <w:lvlJc w:val="left"/>
      <w:pPr>
        <w:tabs>
          <w:tab w:val="left" w:pos="1418"/>
        </w:tabs>
        <w:ind w:left="1418" w:hanging="709"/>
      </w:pPr>
      <w:rPr>
        <w:rFonts w:hint="default"/>
      </w:rPr>
    </w:lvl>
    <w:lvl w:ilvl="2" w:tentative="0">
      <w:start w:val="1"/>
      <w:numFmt w:val="lowerRoman"/>
      <w:lvlRestart w:val="0"/>
      <w:pStyle w:val="12"/>
      <w:lvlText w:val="(%3)"/>
      <w:lvlJc w:val="left"/>
      <w:pPr>
        <w:tabs>
          <w:tab w:val="left" w:pos="2126"/>
        </w:tabs>
        <w:ind w:left="2126" w:hanging="708"/>
      </w:pPr>
      <w:rPr>
        <w:rFonts w:hint="default"/>
      </w:rPr>
    </w:lvl>
    <w:lvl w:ilvl="3" w:tentative="0">
      <w:start w:val="1"/>
      <w:numFmt w:val="upperLetter"/>
      <w:lvlRestart w:val="0"/>
      <w:pStyle w:val="13"/>
      <w:lvlText w:val="(%4)"/>
      <w:lvlJc w:val="left"/>
      <w:pPr>
        <w:tabs>
          <w:tab w:val="left" w:pos="2835"/>
        </w:tabs>
        <w:ind w:left="2835" w:hanging="709"/>
      </w:pPr>
      <w:rPr>
        <w:rFonts w:hint="default"/>
      </w:rPr>
    </w:lvl>
    <w:lvl w:ilvl="4" w:tentative="0">
      <w:start w:val="1"/>
      <w:numFmt w:val="none"/>
      <w:lvlRestart w:val="0"/>
      <w:suff w:val="nothing"/>
      <w:lvlText w:val=""/>
      <w:lvlJc w:val="left"/>
      <w:pPr>
        <w:ind w:left="0" w:firstLine="0"/>
      </w:pPr>
      <w:rPr>
        <w:rFonts w:hint="default"/>
      </w:rPr>
    </w:lvl>
    <w:lvl w:ilvl="5" w:tentative="0">
      <w:start w:val="1"/>
      <w:numFmt w:val="none"/>
      <w:lvlRestart w:val="0"/>
      <w:suff w:val="nothing"/>
      <w:lvlText w:val=""/>
      <w:lvlJc w:val="left"/>
      <w:pPr>
        <w:ind w:left="0" w:firstLine="0"/>
      </w:pPr>
      <w:rPr>
        <w:rFonts w:hint="default"/>
      </w:rPr>
    </w:lvl>
    <w:lvl w:ilvl="6" w:tentative="0">
      <w:start w:val="1"/>
      <w:numFmt w:val="none"/>
      <w:lvlRestart w:val="0"/>
      <w:suff w:val="nothing"/>
      <w:lvlText w:val=""/>
      <w:lvlJc w:val="left"/>
      <w:pPr>
        <w:ind w:left="0" w:firstLine="0"/>
      </w:pPr>
      <w:rPr>
        <w:rFonts w:hint="default"/>
      </w:rPr>
    </w:lvl>
    <w:lvl w:ilvl="7" w:tentative="0">
      <w:start w:val="1"/>
      <w:numFmt w:val="none"/>
      <w:lvlRestart w:val="0"/>
      <w:suff w:val="nothing"/>
      <w:lvlText w:val=""/>
      <w:lvlJc w:val="left"/>
      <w:pPr>
        <w:ind w:left="0" w:firstLine="0"/>
      </w:pPr>
      <w:rPr>
        <w:rFonts w:hint="default"/>
      </w:rPr>
    </w:lvl>
    <w:lvl w:ilvl="8" w:tentative="0">
      <w:start w:val="1"/>
      <w:numFmt w:val="none"/>
      <w:lvlRestart w:val="0"/>
      <w:suff w:val="nothing"/>
      <w:lvlText w:val=""/>
      <w:lvlJc w:val="left"/>
      <w:pPr>
        <w:ind w:left="0" w:firstLine="0"/>
      </w:pPr>
      <w:rPr>
        <w:rFonts w:hint="default"/>
      </w:rPr>
    </w:lvl>
  </w:abstractNum>
  <w:abstractNum w:abstractNumId="3">
    <w:nsid w:val="48FC3910"/>
    <w:multiLevelType w:val="multilevel"/>
    <w:tmpl w:val="48FC3910"/>
    <w:lvl w:ilvl="0" w:tentative="0">
      <w:start w:val="1"/>
      <w:numFmt w:val="none"/>
      <w:pStyle w:val="2"/>
      <w:suff w:val="nothing"/>
      <w:lvlText w:val=""/>
      <w:lvlJc w:val="left"/>
      <w:pPr>
        <w:ind w:left="0" w:firstLine="0"/>
      </w:pPr>
      <w:rPr>
        <w:rFonts w:hint="default"/>
      </w:rPr>
    </w:lvl>
    <w:lvl w:ilvl="1" w:tentative="0">
      <w:start w:val="1"/>
      <w:numFmt w:val="decimal"/>
      <w:pStyle w:val="4"/>
      <w:lvlText w:val="%2."/>
      <w:lvlJc w:val="left"/>
      <w:pPr>
        <w:tabs>
          <w:tab w:val="left" w:pos="709"/>
        </w:tabs>
        <w:ind w:left="709" w:hanging="709"/>
      </w:pPr>
      <w:rPr>
        <w:rFonts w:hint="default"/>
      </w:rPr>
    </w:lvl>
    <w:lvl w:ilvl="2" w:tentative="0">
      <w:start w:val="1"/>
      <w:numFmt w:val="decimal"/>
      <w:pStyle w:val="5"/>
      <w:lvlText w:val="%2.%3"/>
      <w:lvlJc w:val="left"/>
      <w:pPr>
        <w:tabs>
          <w:tab w:val="left" w:pos="709"/>
        </w:tabs>
        <w:ind w:left="709" w:hanging="709"/>
      </w:pPr>
      <w:rPr>
        <w:rFonts w:hint="default"/>
      </w:rPr>
    </w:lvl>
    <w:lvl w:ilvl="3" w:tentative="0">
      <w:start w:val="1"/>
      <w:numFmt w:val="lowerLetter"/>
      <w:pStyle w:val="6"/>
      <w:lvlText w:val="(%4)"/>
      <w:lvlJc w:val="left"/>
      <w:pPr>
        <w:tabs>
          <w:tab w:val="left" w:pos="1418"/>
        </w:tabs>
        <w:ind w:left="1418" w:hanging="709"/>
      </w:pPr>
      <w:rPr>
        <w:rFonts w:hint="default"/>
      </w:rPr>
    </w:lvl>
    <w:lvl w:ilvl="4" w:tentative="0">
      <w:start w:val="1"/>
      <w:numFmt w:val="lowerRoman"/>
      <w:pStyle w:val="7"/>
      <w:lvlText w:val="(%5)"/>
      <w:lvlJc w:val="left"/>
      <w:pPr>
        <w:tabs>
          <w:tab w:val="left" w:pos="2126"/>
        </w:tabs>
        <w:ind w:left="2126" w:hanging="708"/>
      </w:pPr>
      <w:rPr>
        <w:rFonts w:hint="default"/>
      </w:rPr>
    </w:lvl>
    <w:lvl w:ilvl="5" w:tentative="0">
      <w:start w:val="1"/>
      <w:numFmt w:val="upperLetter"/>
      <w:pStyle w:val="8"/>
      <w:lvlText w:val="(%6)"/>
      <w:lvlJc w:val="left"/>
      <w:pPr>
        <w:tabs>
          <w:tab w:val="left" w:pos="2835"/>
        </w:tabs>
        <w:ind w:left="2835" w:hanging="709"/>
      </w:pPr>
      <w:rPr>
        <w:rFonts w:hint="default"/>
      </w:rPr>
    </w:lvl>
    <w:lvl w:ilvl="6" w:tentative="0">
      <w:start w:val="1"/>
      <w:numFmt w:val="decimal"/>
      <w:pStyle w:val="9"/>
      <w:lvlText w:val="(%7)"/>
      <w:lvlJc w:val="left"/>
      <w:pPr>
        <w:tabs>
          <w:tab w:val="left" w:pos="2835"/>
        </w:tabs>
        <w:ind w:left="3544" w:hanging="709"/>
      </w:pPr>
      <w:rPr>
        <w:rFonts w:hint="default"/>
      </w:rPr>
    </w:lvl>
    <w:lvl w:ilvl="7" w:tentative="0">
      <w:start w:val="1"/>
      <w:numFmt w:val="none"/>
      <w:lvlRestart w:val="0"/>
      <w:suff w:val="nothing"/>
      <w:lvlText w:val=""/>
      <w:lvlJc w:val="left"/>
      <w:pPr>
        <w:ind w:left="0" w:firstLine="0"/>
      </w:pPr>
      <w:rPr>
        <w:rFonts w:hint="default"/>
      </w:rPr>
    </w:lvl>
    <w:lvl w:ilvl="8" w:tentative="0">
      <w:start w:val="1"/>
      <w:numFmt w:val="none"/>
      <w:lvlRestart w:val="0"/>
      <w:suff w:val="nothing"/>
      <w:lvlText w:val=""/>
      <w:lvlJc w:val="left"/>
      <w:pPr>
        <w:ind w:left="0" w:firstLine="0"/>
      </w:pPr>
      <w:rPr>
        <w:rFonts w:hint="default"/>
      </w:rPr>
    </w:lvl>
  </w:abstractNum>
  <w:abstractNum w:abstractNumId="4">
    <w:nsid w:val="517C537A"/>
    <w:multiLevelType w:val="multilevel"/>
    <w:tmpl w:val="517C537A"/>
    <w:lvl w:ilvl="0" w:tentative="0">
      <w:start w:val="1"/>
      <w:numFmt w:val="none"/>
      <w:pStyle w:val="54"/>
      <w:suff w:val="nothing"/>
      <w:lvlText w:val=""/>
      <w:lvlJc w:val="left"/>
      <w:pPr>
        <w:ind w:left="709" w:firstLine="0"/>
      </w:pPr>
      <w:rPr>
        <w:rFonts w:hint="default"/>
      </w:rPr>
    </w:lvl>
    <w:lvl w:ilvl="1" w:tentative="0">
      <w:start w:val="1"/>
      <w:numFmt w:val="lowerLetter"/>
      <w:lvlText w:val="(%2)"/>
      <w:lvlJc w:val="left"/>
      <w:pPr>
        <w:tabs>
          <w:tab w:val="left" w:pos="1418"/>
        </w:tabs>
        <w:ind w:left="1418" w:hanging="709"/>
      </w:pPr>
      <w:rPr>
        <w:rFonts w:hint="default"/>
      </w:rPr>
    </w:lvl>
    <w:lvl w:ilvl="2" w:tentative="0">
      <w:start w:val="1"/>
      <w:numFmt w:val="lowerRoman"/>
      <w:lvlText w:val="(%3)"/>
      <w:lvlJc w:val="left"/>
      <w:pPr>
        <w:tabs>
          <w:tab w:val="left" w:pos="2126"/>
        </w:tabs>
        <w:ind w:left="2126" w:hanging="708"/>
      </w:pPr>
      <w:rPr>
        <w:rFonts w:hint="default"/>
      </w:rPr>
    </w:lvl>
    <w:lvl w:ilvl="3" w:tentative="0">
      <w:start w:val="1"/>
      <w:numFmt w:val="upperLetter"/>
      <w:lvlText w:val="(%4)"/>
      <w:lvlJc w:val="left"/>
      <w:pPr>
        <w:tabs>
          <w:tab w:val="left" w:pos="2835"/>
        </w:tabs>
        <w:ind w:left="2835" w:hanging="709"/>
      </w:pPr>
      <w:rPr>
        <w:rFonts w:hint="default"/>
      </w:rPr>
    </w:lvl>
    <w:lvl w:ilvl="4" w:tentative="0">
      <w:start w:val="1"/>
      <w:numFmt w:val="none"/>
      <w:lvlRestart w:val="0"/>
      <w:suff w:val="nothing"/>
      <w:lvlText w:val=""/>
      <w:lvlJc w:val="left"/>
      <w:pPr>
        <w:ind w:left="0" w:firstLine="0"/>
      </w:pPr>
      <w:rPr>
        <w:rFonts w:hint="default"/>
      </w:rPr>
    </w:lvl>
    <w:lvl w:ilvl="5" w:tentative="0">
      <w:start w:val="1"/>
      <w:numFmt w:val="none"/>
      <w:lvlRestart w:val="0"/>
      <w:suff w:val="nothing"/>
      <w:lvlText w:val=""/>
      <w:lvlJc w:val="left"/>
      <w:pPr>
        <w:ind w:left="0" w:firstLine="0"/>
      </w:pPr>
      <w:rPr>
        <w:rFonts w:hint="default"/>
      </w:rPr>
    </w:lvl>
    <w:lvl w:ilvl="6" w:tentative="0">
      <w:start w:val="1"/>
      <w:numFmt w:val="none"/>
      <w:lvlRestart w:val="0"/>
      <w:suff w:val="nothing"/>
      <w:lvlText w:val="."/>
      <w:lvlJc w:val="left"/>
      <w:pPr>
        <w:ind w:left="0" w:firstLine="0"/>
      </w:pPr>
      <w:rPr>
        <w:rFonts w:hint="default"/>
      </w:rPr>
    </w:lvl>
    <w:lvl w:ilvl="7" w:tentative="0">
      <w:start w:val="1"/>
      <w:numFmt w:val="none"/>
      <w:lvlRestart w:val="0"/>
      <w:suff w:val="nothing"/>
      <w:lvlText w:val=""/>
      <w:lvlJc w:val="left"/>
      <w:pPr>
        <w:ind w:left="0" w:firstLine="0"/>
      </w:pPr>
      <w:rPr>
        <w:rFonts w:hint="default"/>
      </w:rPr>
    </w:lvl>
    <w:lvl w:ilvl="8" w:tentative="0">
      <w:start w:val="1"/>
      <w:numFmt w:val="none"/>
      <w:lvlRestart w:val="0"/>
      <w:suff w:val="nothing"/>
      <w:lvlText w:val=""/>
      <w:lvlJc w:val="left"/>
      <w:pPr>
        <w:ind w:left="0" w:firstLine="0"/>
      </w:pPr>
      <w:rPr>
        <w:rFonts w:hint="default"/>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true"/>
  <w:bordersDoNotSurroundFooter w:val="true"/>
  <w:documentProtection w:enforcement="0"/>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OfficeIni" w:val="Beijing - FenXun Partners - ENGLISH.ini"/>
  </w:docVars>
  <w:rsids>
    <w:rsidRoot w:val="00412F93"/>
    <w:rsid w:val="00010FD0"/>
    <w:rsid w:val="0001305A"/>
    <w:rsid w:val="00024D05"/>
    <w:rsid w:val="00033F0F"/>
    <w:rsid w:val="00041664"/>
    <w:rsid w:val="000431B5"/>
    <w:rsid w:val="00060C21"/>
    <w:rsid w:val="0006307F"/>
    <w:rsid w:val="00064467"/>
    <w:rsid w:val="00064C99"/>
    <w:rsid w:val="0007148C"/>
    <w:rsid w:val="00072917"/>
    <w:rsid w:val="000755BA"/>
    <w:rsid w:val="0008707B"/>
    <w:rsid w:val="00095AFA"/>
    <w:rsid w:val="000A0896"/>
    <w:rsid w:val="000A1672"/>
    <w:rsid w:val="000A4F13"/>
    <w:rsid w:val="000B4FD9"/>
    <w:rsid w:val="000D5290"/>
    <w:rsid w:val="000E57D4"/>
    <w:rsid w:val="000F1654"/>
    <w:rsid w:val="00115877"/>
    <w:rsid w:val="00152DA6"/>
    <w:rsid w:val="001709DC"/>
    <w:rsid w:val="00185DFF"/>
    <w:rsid w:val="001A08D6"/>
    <w:rsid w:val="001B2995"/>
    <w:rsid w:val="001C0E39"/>
    <w:rsid w:val="001C1396"/>
    <w:rsid w:val="001D6C9F"/>
    <w:rsid w:val="001E23E5"/>
    <w:rsid w:val="001E2ED3"/>
    <w:rsid w:val="001E5D61"/>
    <w:rsid w:val="001F067A"/>
    <w:rsid w:val="0021341F"/>
    <w:rsid w:val="00216687"/>
    <w:rsid w:val="00217CAF"/>
    <w:rsid w:val="00240E64"/>
    <w:rsid w:val="0024170E"/>
    <w:rsid w:val="00244280"/>
    <w:rsid w:val="00246E79"/>
    <w:rsid w:val="00247235"/>
    <w:rsid w:val="00257A78"/>
    <w:rsid w:val="0026404C"/>
    <w:rsid w:val="002658AD"/>
    <w:rsid w:val="00265990"/>
    <w:rsid w:val="00277288"/>
    <w:rsid w:val="00290151"/>
    <w:rsid w:val="002B1DD2"/>
    <w:rsid w:val="002B2C60"/>
    <w:rsid w:val="002B6BE0"/>
    <w:rsid w:val="002C4642"/>
    <w:rsid w:val="002C65F7"/>
    <w:rsid w:val="002C7E8C"/>
    <w:rsid w:val="002C7F85"/>
    <w:rsid w:val="002E692C"/>
    <w:rsid w:val="002F09D9"/>
    <w:rsid w:val="0030336B"/>
    <w:rsid w:val="003203FF"/>
    <w:rsid w:val="003263E6"/>
    <w:rsid w:val="0032690D"/>
    <w:rsid w:val="0033165D"/>
    <w:rsid w:val="00331B5F"/>
    <w:rsid w:val="003343D5"/>
    <w:rsid w:val="00337A35"/>
    <w:rsid w:val="00340301"/>
    <w:rsid w:val="00342DFD"/>
    <w:rsid w:val="00371538"/>
    <w:rsid w:val="00377A9D"/>
    <w:rsid w:val="00380E6A"/>
    <w:rsid w:val="00386AAA"/>
    <w:rsid w:val="003906EC"/>
    <w:rsid w:val="003E0A01"/>
    <w:rsid w:val="003E522F"/>
    <w:rsid w:val="00401C58"/>
    <w:rsid w:val="0041171E"/>
    <w:rsid w:val="00412F93"/>
    <w:rsid w:val="00443FD5"/>
    <w:rsid w:val="004457D2"/>
    <w:rsid w:val="00452E6B"/>
    <w:rsid w:val="00457AC6"/>
    <w:rsid w:val="00460F12"/>
    <w:rsid w:val="004615A2"/>
    <w:rsid w:val="004667BE"/>
    <w:rsid w:val="004701B3"/>
    <w:rsid w:val="00477E4A"/>
    <w:rsid w:val="0048183C"/>
    <w:rsid w:val="004827DA"/>
    <w:rsid w:val="00486871"/>
    <w:rsid w:val="004954F7"/>
    <w:rsid w:val="004A0807"/>
    <w:rsid w:val="004A4D68"/>
    <w:rsid w:val="004B798A"/>
    <w:rsid w:val="004C2CBE"/>
    <w:rsid w:val="004C381C"/>
    <w:rsid w:val="004C450C"/>
    <w:rsid w:val="004D324A"/>
    <w:rsid w:val="004E1ABA"/>
    <w:rsid w:val="00506452"/>
    <w:rsid w:val="00514B59"/>
    <w:rsid w:val="0052506E"/>
    <w:rsid w:val="005279D8"/>
    <w:rsid w:val="005346D5"/>
    <w:rsid w:val="00553B10"/>
    <w:rsid w:val="0055721B"/>
    <w:rsid w:val="00571C7A"/>
    <w:rsid w:val="0057267C"/>
    <w:rsid w:val="0057495E"/>
    <w:rsid w:val="00597E59"/>
    <w:rsid w:val="005A6254"/>
    <w:rsid w:val="005B05CC"/>
    <w:rsid w:val="005B1ED7"/>
    <w:rsid w:val="005B445A"/>
    <w:rsid w:val="005C7D54"/>
    <w:rsid w:val="005F14E9"/>
    <w:rsid w:val="006020E9"/>
    <w:rsid w:val="00606135"/>
    <w:rsid w:val="00635CB7"/>
    <w:rsid w:val="00654E14"/>
    <w:rsid w:val="00661630"/>
    <w:rsid w:val="00667FC5"/>
    <w:rsid w:val="00675BA0"/>
    <w:rsid w:val="00692D94"/>
    <w:rsid w:val="00693176"/>
    <w:rsid w:val="006A4428"/>
    <w:rsid w:val="006B2108"/>
    <w:rsid w:val="006C18C1"/>
    <w:rsid w:val="006E1974"/>
    <w:rsid w:val="006E324D"/>
    <w:rsid w:val="006E3383"/>
    <w:rsid w:val="006E4F5F"/>
    <w:rsid w:val="006F14C6"/>
    <w:rsid w:val="0070698C"/>
    <w:rsid w:val="007128D6"/>
    <w:rsid w:val="007139AF"/>
    <w:rsid w:val="0071543F"/>
    <w:rsid w:val="00717909"/>
    <w:rsid w:val="0072102F"/>
    <w:rsid w:val="0073198D"/>
    <w:rsid w:val="0074566A"/>
    <w:rsid w:val="00765C54"/>
    <w:rsid w:val="00766C1D"/>
    <w:rsid w:val="00782D80"/>
    <w:rsid w:val="00792DAA"/>
    <w:rsid w:val="00797129"/>
    <w:rsid w:val="007A78F3"/>
    <w:rsid w:val="007B3916"/>
    <w:rsid w:val="007D08B6"/>
    <w:rsid w:val="007E405D"/>
    <w:rsid w:val="007E4387"/>
    <w:rsid w:val="00807D4F"/>
    <w:rsid w:val="00824F76"/>
    <w:rsid w:val="00827519"/>
    <w:rsid w:val="00835F5E"/>
    <w:rsid w:val="0085417A"/>
    <w:rsid w:val="00854DBD"/>
    <w:rsid w:val="00862F04"/>
    <w:rsid w:val="00871977"/>
    <w:rsid w:val="00872B34"/>
    <w:rsid w:val="00887FA4"/>
    <w:rsid w:val="00887FCC"/>
    <w:rsid w:val="00891E3F"/>
    <w:rsid w:val="008B232A"/>
    <w:rsid w:val="008B3AF0"/>
    <w:rsid w:val="008D116F"/>
    <w:rsid w:val="008E1135"/>
    <w:rsid w:val="008F0E75"/>
    <w:rsid w:val="008F1597"/>
    <w:rsid w:val="0090072D"/>
    <w:rsid w:val="009279FB"/>
    <w:rsid w:val="009341EF"/>
    <w:rsid w:val="00937115"/>
    <w:rsid w:val="009413FF"/>
    <w:rsid w:val="00941858"/>
    <w:rsid w:val="00945560"/>
    <w:rsid w:val="0095102B"/>
    <w:rsid w:val="00957A4C"/>
    <w:rsid w:val="009623CA"/>
    <w:rsid w:val="0096368E"/>
    <w:rsid w:val="00970EA6"/>
    <w:rsid w:val="009731C4"/>
    <w:rsid w:val="009833DE"/>
    <w:rsid w:val="009937BB"/>
    <w:rsid w:val="00993C2F"/>
    <w:rsid w:val="0099467A"/>
    <w:rsid w:val="009A382F"/>
    <w:rsid w:val="009D0675"/>
    <w:rsid w:val="009D1A61"/>
    <w:rsid w:val="009E5540"/>
    <w:rsid w:val="00A001B5"/>
    <w:rsid w:val="00A01791"/>
    <w:rsid w:val="00A238C0"/>
    <w:rsid w:val="00A26EAC"/>
    <w:rsid w:val="00A33736"/>
    <w:rsid w:val="00A33D9E"/>
    <w:rsid w:val="00A57029"/>
    <w:rsid w:val="00A5728F"/>
    <w:rsid w:val="00A67195"/>
    <w:rsid w:val="00A73FEE"/>
    <w:rsid w:val="00A745F8"/>
    <w:rsid w:val="00A8527E"/>
    <w:rsid w:val="00A86AA2"/>
    <w:rsid w:val="00A96EE5"/>
    <w:rsid w:val="00AA0C67"/>
    <w:rsid w:val="00AA6C03"/>
    <w:rsid w:val="00AB086A"/>
    <w:rsid w:val="00AB167F"/>
    <w:rsid w:val="00AC6A43"/>
    <w:rsid w:val="00AD0BC0"/>
    <w:rsid w:val="00B12B87"/>
    <w:rsid w:val="00B15E61"/>
    <w:rsid w:val="00B168F6"/>
    <w:rsid w:val="00B256FF"/>
    <w:rsid w:val="00B2663A"/>
    <w:rsid w:val="00B50CCF"/>
    <w:rsid w:val="00B5215E"/>
    <w:rsid w:val="00B62BE6"/>
    <w:rsid w:val="00B939DB"/>
    <w:rsid w:val="00B9547E"/>
    <w:rsid w:val="00BA4425"/>
    <w:rsid w:val="00BB0FF7"/>
    <w:rsid w:val="00BC2134"/>
    <w:rsid w:val="00BD434B"/>
    <w:rsid w:val="00BD6B31"/>
    <w:rsid w:val="00BE0E79"/>
    <w:rsid w:val="00BF3A10"/>
    <w:rsid w:val="00BF6FE7"/>
    <w:rsid w:val="00BF7B3F"/>
    <w:rsid w:val="00C15C38"/>
    <w:rsid w:val="00C3202D"/>
    <w:rsid w:val="00C32443"/>
    <w:rsid w:val="00C52993"/>
    <w:rsid w:val="00C53EC3"/>
    <w:rsid w:val="00C55561"/>
    <w:rsid w:val="00C63420"/>
    <w:rsid w:val="00C6467A"/>
    <w:rsid w:val="00C7415D"/>
    <w:rsid w:val="00C81278"/>
    <w:rsid w:val="00CA2A38"/>
    <w:rsid w:val="00CC1B47"/>
    <w:rsid w:val="00CC2D3C"/>
    <w:rsid w:val="00CC73A8"/>
    <w:rsid w:val="00CD0923"/>
    <w:rsid w:val="00CD531B"/>
    <w:rsid w:val="00CE3872"/>
    <w:rsid w:val="00CF3A70"/>
    <w:rsid w:val="00D005D5"/>
    <w:rsid w:val="00D0242C"/>
    <w:rsid w:val="00D10969"/>
    <w:rsid w:val="00D13A61"/>
    <w:rsid w:val="00D148CD"/>
    <w:rsid w:val="00D21B8C"/>
    <w:rsid w:val="00D27B09"/>
    <w:rsid w:val="00D372C1"/>
    <w:rsid w:val="00D4338D"/>
    <w:rsid w:val="00D60D8F"/>
    <w:rsid w:val="00D63581"/>
    <w:rsid w:val="00D73A7F"/>
    <w:rsid w:val="00D96C70"/>
    <w:rsid w:val="00DB2249"/>
    <w:rsid w:val="00DC266B"/>
    <w:rsid w:val="00DC530B"/>
    <w:rsid w:val="00DC7CB2"/>
    <w:rsid w:val="00DD2805"/>
    <w:rsid w:val="00DE52AD"/>
    <w:rsid w:val="00E00D80"/>
    <w:rsid w:val="00E05036"/>
    <w:rsid w:val="00E156F9"/>
    <w:rsid w:val="00E25811"/>
    <w:rsid w:val="00E259AE"/>
    <w:rsid w:val="00E278E3"/>
    <w:rsid w:val="00E43AA2"/>
    <w:rsid w:val="00E54C3D"/>
    <w:rsid w:val="00E766FC"/>
    <w:rsid w:val="00E77508"/>
    <w:rsid w:val="00E83376"/>
    <w:rsid w:val="00E96FCB"/>
    <w:rsid w:val="00EA7258"/>
    <w:rsid w:val="00EB1F36"/>
    <w:rsid w:val="00EB45A0"/>
    <w:rsid w:val="00EC0DA5"/>
    <w:rsid w:val="00EC30D5"/>
    <w:rsid w:val="00EC3DA4"/>
    <w:rsid w:val="00EC4287"/>
    <w:rsid w:val="00ED331F"/>
    <w:rsid w:val="00EF59DA"/>
    <w:rsid w:val="00F00706"/>
    <w:rsid w:val="00F105F1"/>
    <w:rsid w:val="00F30D26"/>
    <w:rsid w:val="00F3262E"/>
    <w:rsid w:val="00F42BC7"/>
    <w:rsid w:val="00F44528"/>
    <w:rsid w:val="00F47B5F"/>
    <w:rsid w:val="00F50492"/>
    <w:rsid w:val="00F62872"/>
    <w:rsid w:val="00F64CD5"/>
    <w:rsid w:val="00F65C92"/>
    <w:rsid w:val="00F8600F"/>
    <w:rsid w:val="00F976D8"/>
    <w:rsid w:val="00FA7E89"/>
    <w:rsid w:val="00FC702A"/>
    <w:rsid w:val="00FD4C05"/>
    <w:rsid w:val="00FF31A8"/>
    <w:rsid w:val="00FF5354"/>
    <w:rsid w:val="00FF5CE8"/>
    <w:rsid w:val="5EFA7877"/>
    <w:rsid w:val="77F96F8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11"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qFormat="1" w:unhideWhenUsed="0" w:uiPriority="7" w:semiHidden="0"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qFormat="1" w:unhideWhenUsed="0" w:uiPriority="7" w:semiHidden="0" w:name="List Number 2"/>
    <w:lsdException w:qFormat="1" w:unhideWhenUsed="0" w:uiPriority="7" w:semiHidden="0" w:name="List Number 3"/>
    <w:lsdException w:qFormat="1" w:unhideWhenUsed="0" w:uiPriority="7" w:semiHidden="0"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6" w:name="Hyperlink"/>
    <w:lsdException w:qFormat="1" w:uiPriority="0"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1"/>
    <w:pPr>
      <w:widowControl w:val="0"/>
      <w:jc w:val="both"/>
    </w:pPr>
    <w:rPr>
      <w:rFonts w:asciiTheme="minorHAnsi" w:hAnsiTheme="minorHAnsi" w:eastAsiaTheme="minorEastAsia" w:cstheme="minorBidi"/>
      <w:kern w:val="2"/>
      <w:sz w:val="21"/>
      <w:szCs w:val="28"/>
      <w:lang w:val="en-US" w:eastAsia="zh-CN" w:bidi="ar-SA"/>
    </w:rPr>
  </w:style>
  <w:style w:type="paragraph" w:styleId="2">
    <w:name w:val="heading 1"/>
    <w:basedOn w:val="1"/>
    <w:next w:val="3"/>
    <w:link w:val="67"/>
    <w:qFormat/>
    <w:uiPriority w:val="0"/>
    <w:pPr>
      <w:keepNext/>
      <w:numPr>
        <w:ilvl w:val="0"/>
        <w:numId w:val="1"/>
      </w:numPr>
      <w:spacing w:after="180" w:line="260" w:lineRule="atLeast"/>
      <w:outlineLvl w:val="0"/>
    </w:pPr>
    <w:rPr>
      <w:rFonts w:asciiTheme="majorHAnsi" w:hAnsiTheme="majorHAnsi" w:eastAsiaTheme="majorEastAsia" w:cstheme="majorHAnsi"/>
      <w:b/>
      <w:bCs/>
    </w:rPr>
  </w:style>
  <w:style w:type="paragraph" w:styleId="4">
    <w:name w:val="heading 2"/>
    <w:basedOn w:val="1"/>
    <w:next w:val="3"/>
    <w:link w:val="68"/>
    <w:qFormat/>
    <w:uiPriority w:val="0"/>
    <w:pPr>
      <w:keepNext/>
      <w:numPr>
        <w:ilvl w:val="1"/>
        <w:numId w:val="1"/>
      </w:numPr>
      <w:spacing w:after="180" w:line="260" w:lineRule="atLeast"/>
      <w:outlineLvl w:val="1"/>
    </w:pPr>
    <w:rPr>
      <w:rFonts w:asciiTheme="majorHAnsi" w:hAnsiTheme="majorHAnsi" w:eastAsiaTheme="majorEastAsia" w:cstheme="majorHAnsi"/>
      <w:b/>
      <w:bCs/>
    </w:rPr>
  </w:style>
  <w:style w:type="paragraph" w:styleId="5">
    <w:name w:val="heading 3"/>
    <w:basedOn w:val="1"/>
    <w:next w:val="1"/>
    <w:link w:val="69"/>
    <w:qFormat/>
    <w:uiPriority w:val="0"/>
    <w:pPr>
      <w:numPr>
        <w:ilvl w:val="2"/>
        <w:numId w:val="1"/>
      </w:numPr>
      <w:spacing w:after="180" w:line="260" w:lineRule="atLeast"/>
      <w:outlineLvl w:val="2"/>
    </w:pPr>
  </w:style>
  <w:style w:type="paragraph" w:styleId="6">
    <w:name w:val="heading 4"/>
    <w:basedOn w:val="1"/>
    <w:next w:val="1"/>
    <w:link w:val="70"/>
    <w:qFormat/>
    <w:uiPriority w:val="0"/>
    <w:pPr>
      <w:numPr>
        <w:ilvl w:val="3"/>
        <w:numId w:val="1"/>
      </w:numPr>
      <w:spacing w:after="180" w:line="260" w:lineRule="atLeast"/>
      <w:outlineLvl w:val="3"/>
    </w:pPr>
  </w:style>
  <w:style w:type="paragraph" w:styleId="7">
    <w:name w:val="heading 5"/>
    <w:basedOn w:val="1"/>
    <w:next w:val="1"/>
    <w:link w:val="71"/>
    <w:qFormat/>
    <w:uiPriority w:val="0"/>
    <w:pPr>
      <w:numPr>
        <w:ilvl w:val="4"/>
        <w:numId w:val="1"/>
      </w:numPr>
      <w:spacing w:after="180" w:line="260" w:lineRule="atLeast"/>
      <w:outlineLvl w:val="4"/>
    </w:pPr>
  </w:style>
  <w:style w:type="paragraph" w:styleId="8">
    <w:name w:val="heading 6"/>
    <w:basedOn w:val="1"/>
    <w:next w:val="1"/>
    <w:link w:val="72"/>
    <w:qFormat/>
    <w:uiPriority w:val="0"/>
    <w:pPr>
      <w:numPr>
        <w:ilvl w:val="5"/>
        <w:numId w:val="1"/>
      </w:numPr>
      <w:spacing w:after="180" w:line="260" w:lineRule="atLeast"/>
      <w:outlineLvl w:val="5"/>
    </w:pPr>
  </w:style>
  <w:style w:type="paragraph" w:styleId="9">
    <w:name w:val="heading 7"/>
    <w:basedOn w:val="1"/>
    <w:next w:val="1"/>
    <w:link w:val="73"/>
    <w:qFormat/>
    <w:uiPriority w:val="0"/>
    <w:pPr>
      <w:numPr>
        <w:ilvl w:val="6"/>
        <w:numId w:val="1"/>
      </w:numPr>
      <w:spacing w:after="180" w:line="260" w:lineRule="atLeast"/>
      <w:outlineLvl w:val="6"/>
    </w:pPr>
  </w:style>
  <w:style w:type="character" w:default="1" w:styleId="16">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49"/>
    <w:semiHidden/>
    <w:unhideWhenUsed/>
    <w:qFormat/>
    <w:uiPriority w:val="99"/>
    <w:pPr>
      <w:spacing w:after="120"/>
    </w:pPr>
  </w:style>
  <w:style w:type="paragraph" w:styleId="10">
    <w:name w:val="List Number 2"/>
    <w:basedOn w:val="1"/>
    <w:qFormat/>
    <w:uiPriority w:val="7"/>
    <w:pPr>
      <w:numPr>
        <w:ilvl w:val="1"/>
        <w:numId w:val="2"/>
      </w:numPr>
      <w:spacing w:after="180" w:line="260" w:lineRule="atLeast"/>
    </w:pPr>
  </w:style>
  <w:style w:type="paragraph" w:styleId="11">
    <w:name w:val="List Number"/>
    <w:basedOn w:val="1"/>
    <w:qFormat/>
    <w:uiPriority w:val="7"/>
    <w:pPr>
      <w:numPr>
        <w:ilvl w:val="0"/>
        <w:numId w:val="2"/>
      </w:numPr>
      <w:spacing w:after="180" w:line="260" w:lineRule="atLeast"/>
    </w:pPr>
  </w:style>
  <w:style w:type="paragraph" w:styleId="12">
    <w:name w:val="List Number 3"/>
    <w:basedOn w:val="1"/>
    <w:qFormat/>
    <w:uiPriority w:val="7"/>
    <w:pPr>
      <w:numPr>
        <w:ilvl w:val="2"/>
        <w:numId w:val="2"/>
      </w:numPr>
      <w:spacing w:after="180" w:line="260" w:lineRule="atLeast"/>
    </w:pPr>
  </w:style>
  <w:style w:type="paragraph" w:styleId="13">
    <w:name w:val="List Number 4"/>
    <w:basedOn w:val="1"/>
    <w:qFormat/>
    <w:uiPriority w:val="7"/>
    <w:pPr>
      <w:numPr>
        <w:ilvl w:val="3"/>
        <w:numId w:val="2"/>
      </w:numPr>
      <w:spacing w:after="180" w:line="260" w:lineRule="atLeast"/>
    </w:pPr>
  </w:style>
  <w:style w:type="paragraph" w:styleId="14">
    <w:name w:val="footer"/>
    <w:basedOn w:val="1"/>
    <w:link w:val="40"/>
    <w:qFormat/>
    <w:uiPriority w:val="99"/>
    <w:pPr>
      <w:tabs>
        <w:tab w:val="right" w:pos="9350"/>
      </w:tabs>
      <w:spacing w:line="200" w:lineRule="atLeast"/>
    </w:pPr>
    <w:rPr>
      <w:rFonts w:asciiTheme="majorHAnsi" w:hAnsiTheme="majorHAnsi" w:eastAsiaTheme="majorEastAsia" w:cstheme="majorHAnsi"/>
      <w:sz w:val="16"/>
    </w:rPr>
  </w:style>
  <w:style w:type="character" w:styleId="17">
    <w:name w:val="page number"/>
    <w:basedOn w:val="16"/>
    <w:semiHidden/>
    <w:qFormat/>
    <w:uiPriority w:val="99"/>
    <w:rPr>
      <w:szCs w:val="16"/>
    </w:rPr>
  </w:style>
  <w:style w:type="character" w:styleId="18">
    <w:name w:val="FollowedHyperlink"/>
    <w:basedOn w:val="16"/>
    <w:unhideWhenUsed/>
    <w:qFormat/>
    <w:uiPriority w:val="0"/>
    <w:rPr>
      <w:color w:val="800080"/>
      <w:u w:val="single"/>
    </w:rPr>
  </w:style>
  <w:style w:type="character" w:styleId="19">
    <w:name w:val="Hyperlink"/>
    <w:semiHidden/>
    <w:qFormat/>
    <w:uiPriority w:val="6"/>
    <w:rPr>
      <w:color w:val="0000FF"/>
      <w:u w:val="single"/>
    </w:rPr>
  </w:style>
  <w:style w:type="paragraph" w:customStyle="1" w:styleId="20">
    <w:name w:val="Bullet 1"/>
    <w:basedOn w:val="1"/>
    <w:qFormat/>
    <w:uiPriority w:val="8"/>
    <w:pPr>
      <w:spacing w:after="180" w:line="260" w:lineRule="atLeast"/>
    </w:pPr>
  </w:style>
  <w:style w:type="paragraph" w:customStyle="1" w:styleId="21">
    <w:name w:val="Bullet 2"/>
    <w:basedOn w:val="1"/>
    <w:qFormat/>
    <w:uiPriority w:val="8"/>
    <w:pPr>
      <w:spacing w:line="260" w:lineRule="atLeast"/>
    </w:pPr>
  </w:style>
  <w:style w:type="paragraph" w:customStyle="1" w:styleId="22">
    <w:name w:val="BMK Address Info"/>
    <w:link w:val="23"/>
    <w:semiHidden/>
    <w:qFormat/>
    <w:uiPriority w:val="0"/>
    <w:pPr>
      <w:widowControl w:val="0"/>
      <w:jc w:val="both"/>
    </w:pPr>
    <w:rPr>
      <w:rFonts w:ascii="Arial" w:hAnsi="Arial" w:eastAsia="PMingLiU" w:cstheme="minorBidi"/>
      <w:kern w:val="2"/>
      <w:sz w:val="16"/>
      <w:szCs w:val="22"/>
      <w:lang w:val="en-AU" w:eastAsia="zh-CN" w:bidi="ar-SA"/>
    </w:rPr>
  </w:style>
  <w:style w:type="character" w:customStyle="1" w:styleId="23">
    <w:name w:val="BMK Address Info Char"/>
    <w:link w:val="22"/>
    <w:semiHidden/>
    <w:qFormat/>
    <w:uiPriority w:val="0"/>
    <w:rPr>
      <w:rFonts w:ascii="Arial" w:hAnsi="Arial" w:eastAsia="PMingLiU"/>
      <w:kern w:val="0"/>
      <w:sz w:val="16"/>
      <w:lang w:val="en-AU"/>
    </w:rPr>
  </w:style>
  <w:style w:type="paragraph" w:customStyle="1" w:styleId="24">
    <w:name w:val="BMK Address1"/>
    <w:basedOn w:val="1"/>
    <w:semiHidden/>
    <w:qFormat/>
    <w:uiPriority w:val="0"/>
    <w:pPr>
      <w:spacing w:line="260" w:lineRule="atLeast"/>
    </w:pPr>
  </w:style>
  <w:style w:type="paragraph" w:customStyle="1" w:styleId="25">
    <w:name w:val="BMK Attention"/>
    <w:basedOn w:val="1"/>
    <w:semiHidden/>
    <w:qFormat/>
    <w:uiPriority w:val="0"/>
    <w:pPr>
      <w:spacing w:line="260" w:lineRule="atLeast"/>
    </w:pPr>
  </w:style>
  <w:style w:type="paragraph" w:customStyle="1" w:styleId="26">
    <w:name w:val="BMK Cities"/>
    <w:semiHidden/>
    <w:qFormat/>
    <w:uiPriority w:val="0"/>
    <w:pPr>
      <w:widowControl w:val="0"/>
      <w:jc w:val="both"/>
    </w:pPr>
    <w:rPr>
      <w:rFonts w:ascii="Arial" w:hAnsi="Arial" w:eastAsia="PMingLiU" w:cstheme="minorBidi"/>
      <w:spacing w:val="2"/>
      <w:kern w:val="2"/>
      <w:sz w:val="11"/>
      <w:szCs w:val="11"/>
      <w:lang w:val="en-AU" w:eastAsia="zh-CN" w:bidi="ar-SA"/>
    </w:rPr>
  </w:style>
  <w:style w:type="paragraph" w:customStyle="1" w:styleId="27">
    <w:name w:val="BMK Cities Space"/>
    <w:basedOn w:val="26"/>
    <w:semiHidden/>
    <w:qFormat/>
    <w:uiPriority w:val="0"/>
  </w:style>
  <w:style w:type="paragraph" w:customStyle="1" w:styleId="28">
    <w:name w:val="BMK Delivery Phrase"/>
    <w:basedOn w:val="22"/>
    <w:semiHidden/>
    <w:qFormat/>
    <w:uiPriority w:val="0"/>
    <w:pPr>
      <w:framePr w:w="2943" w:h="1734" w:hRule="exact" w:wrap="around" w:vAnchor="text" w:hAnchor="page" w:x="8533" w:y="208"/>
    </w:pPr>
    <w:rPr>
      <w:b/>
    </w:rPr>
  </w:style>
  <w:style w:type="paragraph" w:customStyle="1" w:styleId="29">
    <w:name w:val="BMK Document Name"/>
    <w:basedOn w:val="1"/>
    <w:next w:val="1"/>
    <w:semiHidden/>
    <w:qFormat/>
    <w:uiPriority w:val="0"/>
    <w:pPr>
      <w:tabs>
        <w:tab w:val="left" w:pos="2761"/>
        <w:tab w:val="left" w:pos="3470"/>
        <w:tab w:val="left" w:pos="4179"/>
        <w:tab w:val="left" w:pos="4888"/>
        <w:tab w:val="right" w:pos="9849"/>
      </w:tabs>
      <w:spacing w:line="200" w:lineRule="atLeast"/>
    </w:pPr>
    <w:rPr>
      <w:rFonts w:ascii="Arial Black" w:hAnsi="Arial Black"/>
      <w:b/>
      <w:bCs/>
      <w:sz w:val="18"/>
    </w:rPr>
  </w:style>
  <w:style w:type="paragraph" w:customStyle="1" w:styleId="30">
    <w:name w:val="BMK Document Name HK"/>
    <w:basedOn w:val="1"/>
    <w:next w:val="1"/>
    <w:semiHidden/>
    <w:qFormat/>
    <w:uiPriority w:val="0"/>
    <w:pPr>
      <w:spacing w:line="200" w:lineRule="atLeast"/>
    </w:pPr>
    <w:rPr>
      <w:rFonts w:ascii="Arial Black" w:hAnsi="Arial Black" w:eastAsiaTheme="majorEastAsia" w:cstheme="majorHAnsi"/>
      <w:b/>
      <w:sz w:val="18"/>
      <w:szCs w:val="32"/>
    </w:rPr>
  </w:style>
  <w:style w:type="paragraph" w:customStyle="1" w:styleId="31">
    <w:name w:val="BMK Legal Notice Phrase"/>
    <w:basedOn w:val="1"/>
    <w:semiHidden/>
    <w:qFormat/>
    <w:uiPriority w:val="0"/>
    <w:pPr>
      <w:spacing w:before="260" w:after="180" w:line="260" w:lineRule="atLeast"/>
    </w:pPr>
    <w:rPr>
      <w:rFonts w:asciiTheme="majorHAnsi" w:hAnsiTheme="majorHAnsi" w:eastAsiaTheme="majorEastAsia" w:cstheme="majorHAnsi"/>
      <w:b/>
      <w:caps/>
    </w:rPr>
  </w:style>
  <w:style w:type="paragraph" w:customStyle="1" w:styleId="32">
    <w:name w:val="BMK LetterCaption"/>
    <w:basedOn w:val="31"/>
    <w:next w:val="1"/>
    <w:semiHidden/>
    <w:qFormat/>
    <w:uiPriority w:val="0"/>
    <w:pPr>
      <w:spacing w:before="0"/>
    </w:pPr>
  </w:style>
  <w:style w:type="paragraph" w:customStyle="1" w:styleId="33">
    <w:name w:val="BMK Member Firm Name"/>
    <w:basedOn w:val="22"/>
    <w:next w:val="22"/>
    <w:link w:val="34"/>
    <w:semiHidden/>
    <w:qFormat/>
    <w:uiPriority w:val="0"/>
    <w:rPr>
      <w:b/>
      <w:bCs/>
    </w:rPr>
  </w:style>
  <w:style w:type="character" w:customStyle="1" w:styleId="34">
    <w:name w:val="BMK Member Firm Name Char"/>
    <w:link w:val="33"/>
    <w:semiHidden/>
    <w:qFormat/>
    <w:uiPriority w:val="0"/>
    <w:rPr>
      <w:rFonts w:ascii="Arial" w:hAnsi="Arial" w:eastAsia="PMingLiU"/>
      <w:b/>
      <w:bCs/>
      <w:kern w:val="0"/>
      <w:sz w:val="16"/>
      <w:lang w:val="en-AU"/>
    </w:rPr>
  </w:style>
  <w:style w:type="paragraph" w:customStyle="1" w:styleId="35">
    <w:name w:val="BMK Multi Office"/>
    <w:basedOn w:val="1"/>
    <w:next w:val="1"/>
    <w:semiHidden/>
    <w:qFormat/>
    <w:uiPriority w:val="0"/>
    <w:rPr>
      <w:rFonts w:ascii="Arial Black" w:hAnsi="Arial Black" w:eastAsia="PMingLiU"/>
      <w:spacing w:val="2"/>
      <w:sz w:val="11"/>
      <w:szCs w:val="24"/>
    </w:rPr>
  </w:style>
  <w:style w:type="paragraph" w:customStyle="1" w:styleId="36">
    <w:name w:val="BMK Multi Office Address"/>
    <w:basedOn w:val="26"/>
    <w:semiHidden/>
    <w:qFormat/>
    <w:uiPriority w:val="0"/>
  </w:style>
  <w:style w:type="paragraph" w:customStyle="1" w:styleId="37">
    <w:name w:val="BMK Partner List"/>
    <w:basedOn w:val="26"/>
    <w:semiHidden/>
    <w:qFormat/>
    <w:uiPriority w:val="0"/>
    <w:pPr>
      <w:adjustRightInd w:val="0"/>
      <w:snapToGrid w:val="0"/>
      <w:spacing w:after="20"/>
    </w:pPr>
    <w:rPr>
      <w:spacing w:val="0"/>
      <w:sz w:val="10"/>
      <w:szCs w:val="16"/>
    </w:rPr>
  </w:style>
  <w:style w:type="paragraph" w:customStyle="1" w:styleId="38">
    <w:name w:val="BMK Privacy Text"/>
    <w:basedOn w:val="14"/>
    <w:link w:val="39"/>
    <w:semiHidden/>
    <w:qFormat/>
    <w:uiPriority w:val="0"/>
    <w:rPr>
      <w:szCs w:val="22"/>
    </w:rPr>
  </w:style>
  <w:style w:type="character" w:customStyle="1" w:styleId="39">
    <w:name w:val="BMK Privacy Text Char"/>
    <w:link w:val="38"/>
    <w:semiHidden/>
    <w:qFormat/>
    <w:uiPriority w:val="0"/>
    <w:rPr>
      <w:rFonts w:asciiTheme="majorHAnsi" w:hAnsiTheme="majorHAnsi" w:eastAsiaTheme="majorEastAsia" w:cstheme="majorHAnsi"/>
      <w:kern w:val="0"/>
      <w:sz w:val="16"/>
      <w:lang w:val="en-AU"/>
    </w:rPr>
  </w:style>
  <w:style w:type="character" w:customStyle="1" w:styleId="40">
    <w:name w:val="Footer Char"/>
    <w:link w:val="14"/>
    <w:qFormat/>
    <w:uiPriority w:val="99"/>
    <w:rPr>
      <w:rFonts w:asciiTheme="majorHAnsi" w:hAnsiTheme="majorHAnsi" w:eastAsiaTheme="majorEastAsia" w:cstheme="majorHAnsi"/>
      <w:kern w:val="0"/>
      <w:sz w:val="16"/>
      <w:lang w:val="en-AU"/>
    </w:rPr>
  </w:style>
  <w:style w:type="paragraph" w:customStyle="1" w:styleId="41">
    <w:name w:val="BMK Privacy Title"/>
    <w:basedOn w:val="1"/>
    <w:semiHidden/>
    <w:qFormat/>
    <w:uiPriority w:val="0"/>
    <w:pPr>
      <w:spacing w:before="260" w:after="140" w:line="240" w:lineRule="atLeast"/>
    </w:pPr>
    <w:rPr>
      <w:rFonts w:ascii="Arial Black" w:hAnsi="Arial Black"/>
      <w:sz w:val="18"/>
    </w:rPr>
  </w:style>
  <w:style w:type="paragraph" w:customStyle="1" w:styleId="42">
    <w:name w:val="BMK Qualifier"/>
    <w:semiHidden/>
    <w:qFormat/>
    <w:uiPriority w:val="0"/>
    <w:pPr>
      <w:widowControl w:val="0"/>
      <w:spacing w:after="200" w:line="170" w:lineRule="atLeast"/>
      <w:jc w:val="both"/>
    </w:pPr>
    <w:rPr>
      <w:rFonts w:eastAsia="PMingLiU" w:asciiTheme="majorHAnsi" w:hAnsiTheme="majorHAnsi" w:cstheme="minorBidi"/>
      <w:caps/>
      <w:kern w:val="2"/>
      <w:sz w:val="13"/>
      <w:szCs w:val="13"/>
      <w:lang w:val="en-AU" w:eastAsia="zh-CN" w:bidi="ar-SA"/>
    </w:rPr>
  </w:style>
  <w:style w:type="paragraph" w:customStyle="1" w:styleId="43">
    <w:name w:val="BMK Recipient1"/>
    <w:basedOn w:val="1"/>
    <w:semiHidden/>
    <w:qFormat/>
    <w:uiPriority w:val="0"/>
    <w:pPr>
      <w:spacing w:line="260" w:lineRule="atLeast"/>
    </w:pPr>
  </w:style>
  <w:style w:type="paragraph" w:customStyle="1" w:styleId="44">
    <w:name w:val="BMK Ref Info"/>
    <w:basedOn w:val="22"/>
    <w:semiHidden/>
    <w:qFormat/>
    <w:uiPriority w:val="0"/>
    <w:pPr>
      <w:framePr w:w="2943" w:h="1734" w:hRule="exact" w:wrap="around" w:vAnchor="text" w:hAnchor="page" w:x="8533" w:y="208"/>
    </w:pPr>
  </w:style>
  <w:style w:type="paragraph" w:customStyle="1" w:styleId="45">
    <w:name w:val="BMK Regions"/>
    <w:basedOn w:val="26"/>
    <w:next w:val="26"/>
    <w:semiHidden/>
    <w:qFormat/>
    <w:uiPriority w:val="0"/>
    <w:rPr>
      <w:rFonts w:ascii="Arial Black" w:hAnsi="Arial Black"/>
      <w:szCs w:val="24"/>
    </w:rPr>
  </w:style>
  <w:style w:type="paragraph" w:customStyle="1" w:styleId="46">
    <w:name w:val="BMK Salutation"/>
    <w:basedOn w:val="1"/>
    <w:semiHidden/>
    <w:qFormat/>
    <w:uiPriority w:val="0"/>
    <w:pPr>
      <w:spacing w:line="260" w:lineRule="atLeast"/>
    </w:pPr>
  </w:style>
  <w:style w:type="paragraph" w:customStyle="1" w:styleId="47">
    <w:name w:val="BMK Subject"/>
    <w:basedOn w:val="1"/>
    <w:semiHidden/>
    <w:qFormat/>
    <w:uiPriority w:val="0"/>
    <w:pPr>
      <w:spacing w:line="260" w:lineRule="atLeast"/>
    </w:pPr>
    <w:rPr>
      <w:rFonts w:asciiTheme="majorHAnsi" w:hAnsiTheme="majorHAnsi" w:eastAsiaTheme="majorEastAsia" w:cstheme="majorHAnsi"/>
      <w:b/>
      <w:bCs/>
    </w:rPr>
  </w:style>
  <w:style w:type="paragraph" w:customStyle="1" w:styleId="48">
    <w:name w:val="BMK Subtitle"/>
    <w:basedOn w:val="1"/>
    <w:next w:val="3"/>
    <w:semiHidden/>
    <w:qFormat/>
    <w:uiPriority w:val="0"/>
    <w:pPr>
      <w:spacing w:after="180" w:line="260" w:lineRule="atLeast"/>
    </w:pPr>
    <w:rPr>
      <w:rFonts w:asciiTheme="majorHAnsi" w:hAnsiTheme="majorHAnsi" w:eastAsiaTheme="majorEastAsia" w:cstheme="majorHAnsi"/>
      <w:sz w:val="32"/>
    </w:rPr>
  </w:style>
  <w:style w:type="character" w:customStyle="1" w:styleId="49">
    <w:name w:val="Body Text Char"/>
    <w:basedOn w:val="16"/>
    <w:link w:val="3"/>
    <w:semiHidden/>
    <w:qFormat/>
    <w:uiPriority w:val="99"/>
  </w:style>
  <w:style w:type="paragraph" w:customStyle="1" w:styleId="50">
    <w:name w:val="BMK Title"/>
    <w:basedOn w:val="1"/>
    <w:next w:val="3"/>
    <w:semiHidden/>
    <w:qFormat/>
    <w:uiPriority w:val="0"/>
    <w:pPr>
      <w:spacing w:after="180" w:line="260" w:lineRule="atLeast"/>
    </w:pPr>
    <w:rPr>
      <w:rFonts w:asciiTheme="majorHAnsi" w:hAnsiTheme="majorHAnsi" w:eastAsiaTheme="majorEastAsia" w:cstheme="majorHAnsi"/>
      <w:sz w:val="48"/>
    </w:rPr>
  </w:style>
  <w:style w:type="paragraph" w:customStyle="1" w:styleId="51">
    <w:name w:val="BMKDate"/>
    <w:basedOn w:val="1"/>
    <w:semiHidden/>
    <w:qFormat/>
    <w:uiPriority w:val="0"/>
    <w:pPr>
      <w:spacing w:line="260" w:lineRule="atLeast"/>
    </w:pPr>
  </w:style>
  <w:style w:type="paragraph" w:customStyle="1" w:styleId="52">
    <w:name w:val="BMKHeaderLogoSHI"/>
    <w:semiHidden/>
    <w:qFormat/>
    <w:uiPriority w:val="0"/>
    <w:pPr>
      <w:widowControl w:val="0"/>
      <w:tabs>
        <w:tab w:val="left" w:pos="709"/>
        <w:tab w:val="left" w:pos="1418"/>
        <w:tab w:val="left" w:pos="2126"/>
        <w:tab w:val="left" w:pos="2835"/>
        <w:tab w:val="right" w:pos="7876"/>
      </w:tabs>
      <w:spacing w:after="140" w:line="260" w:lineRule="atLeast"/>
      <w:jc w:val="both"/>
    </w:pPr>
    <w:rPr>
      <w:rFonts w:asciiTheme="minorHAnsi" w:hAnsiTheme="minorHAnsi" w:eastAsiaTheme="minorEastAsia" w:cstheme="minorHAnsi"/>
      <w:kern w:val="2"/>
      <w:sz w:val="21"/>
      <w:szCs w:val="24"/>
      <w:lang w:val="en-AU" w:eastAsia="zh-CN" w:bidi="ar-SA"/>
    </w:rPr>
  </w:style>
  <w:style w:type="character" w:customStyle="1" w:styleId="53">
    <w:name w:val="Definition"/>
    <w:basedOn w:val="16"/>
    <w:qFormat/>
    <w:uiPriority w:val="3"/>
    <w:rPr>
      <w:b/>
      <w:bCs/>
      <w:szCs w:val="28"/>
    </w:rPr>
  </w:style>
  <w:style w:type="paragraph" w:customStyle="1" w:styleId="54">
    <w:name w:val="Definition Paragraph"/>
    <w:basedOn w:val="1"/>
    <w:qFormat/>
    <w:uiPriority w:val="2"/>
    <w:pPr>
      <w:numPr>
        <w:ilvl w:val="0"/>
        <w:numId w:val="3"/>
      </w:numPr>
      <w:spacing w:after="180" w:line="260" w:lineRule="atLeast"/>
    </w:pPr>
  </w:style>
  <w:style w:type="character" w:customStyle="1" w:styleId="55">
    <w:name w:val="DMReference"/>
    <w:basedOn w:val="40"/>
    <w:semiHidden/>
    <w:qFormat/>
    <w:uiPriority w:val="0"/>
    <w:rPr>
      <w:rFonts w:asciiTheme="majorHAnsi" w:hAnsiTheme="majorHAnsi" w:eastAsiaTheme="majorEastAsia" w:cstheme="majorHAnsi"/>
      <w:kern w:val="0"/>
      <w:sz w:val="16"/>
      <w:szCs w:val="16"/>
      <w:lang w:val="en-AU"/>
    </w:rPr>
  </w:style>
  <w:style w:type="paragraph" w:customStyle="1" w:styleId="56">
    <w:name w:val="LetterDetail"/>
    <w:basedOn w:val="1"/>
    <w:semiHidden/>
    <w:qFormat/>
    <w:uiPriority w:val="0"/>
    <w:pPr>
      <w:spacing w:line="260" w:lineRule="atLeast"/>
    </w:pPr>
  </w:style>
  <w:style w:type="paragraph" w:customStyle="1" w:styleId="57">
    <w:name w:val="OtherContact"/>
    <w:basedOn w:val="1"/>
    <w:semiHidden/>
    <w:qFormat/>
    <w:uiPriority w:val="0"/>
    <w:rPr>
      <w:rFonts w:asciiTheme="majorHAnsi" w:hAnsiTheme="majorHAnsi" w:eastAsiaTheme="majorEastAsia" w:cstheme="majorHAnsi"/>
      <w:sz w:val="16"/>
    </w:rPr>
  </w:style>
  <w:style w:type="paragraph" w:customStyle="1" w:styleId="58">
    <w:name w:val="Recital"/>
    <w:basedOn w:val="1"/>
    <w:qFormat/>
    <w:uiPriority w:val="7"/>
    <w:pPr>
      <w:numPr>
        <w:ilvl w:val="0"/>
        <w:numId w:val="4"/>
      </w:numPr>
      <w:spacing w:after="180" w:line="260" w:lineRule="atLeast"/>
    </w:pPr>
    <w:rPr>
      <w:rFonts w:cs="Times New Roman"/>
    </w:rPr>
  </w:style>
  <w:style w:type="paragraph" w:customStyle="1" w:styleId="59">
    <w:name w:val="SchH1"/>
    <w:basedOn w:val="1"/>
    <w:next w:val="3"/>
    <w:qFormat/>
    <w:uiPriority w:val="6"/>
    <w:pPr>
      <w:keepNext/>
      <w:numPr>
        <w:ilvl w:val="0"/>
        <w:numId w:val="5"/>
      </w:numPr>
      <w:spacing w:after="180" w:line="260" w:lineRule="atLeast"/>
    </w:pPr>
    <w:rPr>
      <w:rFonts w:asciiTheme="majorHAnsi" w:hAnsiTheme="majorHAnsi" w:eastAsiaTheme="majorEastAsia" w:cstheme="majorHAnsi"/>
      <w:b/>
      <w:bCs/>
    </w:rPr>
  </w:style>
  <w:style w:type="paragraph" w:customStyle="1" w:styleId="60">
    <w:name w:val="SchH2"/>
    <w:basedOn w:val="1"/>
    <w:next w:val="3"/>
    <w:qFormat/>
    <w:uiPriority w:val="6"/>
    <w:pPr>
      <w:keepNext/>
      <w:numPr>
        <w:ilvl w:val="1"/>
        <w:numId w:val="5"/>
      </w:numPr>
      <w:spacing w:after="180" w:line="260" w:lineRule="atLeast"/>
    </w:pPr>
    <w:rPr>
      <w:rFonts w:asciiTheme="majorHAnsi" w:hAnsiTheme="majorHAnsi" w:eastAsiaTheme="majorEastAsia" w:cstheme="majorHAnsi"/>
      <w:b/>
      <w:bCs/>
    </w:rPr>
  </w:style>
  <w:style w:type="paragraph" w:customStyle="1" w:styleId="61">
    <w:name w:val="SchH3"/>
    <w:basedOn w:val="1"/>
    <w:qFormat/>
    <w:uiPriority w:val="6"/>
    <w:pPr>
      <w:numPr>
        <w:ilvl w:val="2"/>
        <w:numId w:val="5"/>
      </w:numPr>
      <w:spacing w:after="180" w:line="260" w:lineRule="atLeast"/>
    </w:pPr>
  </w:style>
  <w:style w:type="paragraph" w:customStyle="1" w:styleId="62">
    <w:name w:val="SchH4"/>
    <w:basedOn w:val="1"/>
    <w:qFormat/>
    <w:uiPriority w:val="6"/>
    <w:pPr>
      <w:numPr>
        <w:ilvl w:val="3"/>
        <w:numId w:val="5"/>
      </w:numPr>
      <w:spacing w:after="180" w:line="260" w:lineRule="atLeast"/>
    </w:pPr>
  </w:style>
  <w:style w:type="paragraph" w:customStyle="1" w:styleId="63">
    <w:name w:val="SchH5"/>
    <w:basedOn w:val="1"/>
    <w:qFormat/>
    <w:uiPriority w:val="6"/>
    <w:pPr>
      <w:numPr>
        <w:ilvl w:val="4"/>
        <w:numId w:val="5"/>
      </w:numPr>
      <w:spacing w:after="180" w:line="260" w:lineRule="atLeast"/>
    </w:pPr>
  </w:style>
  <w:style w:type="paragraph" w:customStyle="1" w:styleId="64">
    <w:name w:val="SchH6"/>
    <w:basedOn w:val="1"/>
    <w:qFormat/>
    <w:uiPriority w:val="6"/>
    <w:pPr>
      <w:numPr>
        <w:ilvl w:val="5"/>
        <w:numId w:val="5"/>
      </w:numPr>
      <w:spacing w:after="180" w:line="260" w:lineRule="atLeast"/>
    </w:pPr>
  </w:style>
  <w:style w:type="paragraph" w:customStyle="1" w:styleId="65">
    <w:name w:val="SchSH"/>
    <w:basedOn w:val="1"/>
    <w:next w:val="3"/>
    <w:qFormat/>
    <w:uiPriority w:val="6"/>
    <w:pPr>
      <w:keepNext/>
      <w:spacing w:after="180" w:line="260" w:lineRule="atLeast"/>
    </w:pPr>
    <w:rPr>
      <w:rFonts w:asciiTheme="majorHAnsi" w:hAnsiTheme="majorHAnsi" w:eastAsiaTheme="majorEastAsia" w:cstheme="majorHAnsi"/>
      <w:b/>
    </w:rPr>
  </w:style>
  <w:style w:type="paragraph" w:customStyle="1" w:styleId="66">
    <w:name w:val="TOCHeading"/>
    <w:basedOn w:val="1"/>
    <w:next w:val="3"/>
    <w:semiHidden/>
    <w:qFormat/>
    <w:uiPriority w:val="11"/>
    <w:pPr>
      <w:pBdr>
        <w:bottom w:val="single" w:color="auto" w:sz="4" w:space="9"/>
      </w:pBdr>
      <w:spacing w:after="180" w:line="260" w:lineRule="exact"/>
    </w:pPr>
    <w:rPr>
      <w:rFonts w:asciiTheme="majorHAnsi" w:hAnsiTheme="majorHAnsi" w:eastAsiaTheme="majorEastAsia" w:cstheme="majorHAnsi"/>
      <w:b/>
      <w:bCs/>
      <w:sz w:val="24"/>
    </w:rPr>
  </w:style>
  <w:style w:type="character" w:customStyle="1" w:styleId="67">
    <w:name w:val="Heading 1 Char"/>
    <w:basedOn w:val="16"/>
    <w:link w:val="2"/>
    <w:qFormat/>
    <w:uiPriority w:val="0"/>
    <w:rPr>
      <w:rFonts w:asciiTheme="majorHAnsi" w:hAnsiTheme="majorHAnsi" w:eastAsiaTheme="majorEastAsia" w:cstheme="majorHAnsi"/>
      <w:b/>
      <w:bCs/>
      <w:kern w:val="0"/>
      <w:sz w:val="22"/>
      <w:szCs w:val="28"/>
      <w:lang w:val="en-AU"/>
    </w:rPr>
  </w:style>
  <w:style w:type="character" w:customStyle="1" w:styleId="68">
    <w:name w:val="Heading 2 Char"/>
    <w:basedOn w:val="16"/>
    <w:link w:val="4"/>
    <w:qFormat/>
    <w:uiPriority w:val="0"/>
    <w:rPr>
      <w:rFonts w:asciiTheme="majorHAnsi" w:hAnsiTheme="majorHAnsi" w:eastAsiaTheme="majorEastAsia" w:cstheme="majorHAnsi"/>
      <w:b/>
      <w:bCs/>
      <w:kern w:val="0"/>
      <w:sz w:val="22"/>
      <w:szCs w:val="28"/>
      <w:lang w:val="en-AU"/>
    </w:rPr>
  </w:style>
  <w:style w:type="character" w:customStyle="1" w:styleId="69">
    <w:name w:val="Heading 3 Char"/>
    <w:basedOn w:val="16"/>
    <w:link w:val="5"/>
    <w:qFormat/>
    <w:uiPriority w:val="0"/>
    <w:rPr>
      <w:kern w:val="0"/>
      <w:sz w:val="22"/>
      <w:szCs w:val="28"/>
      <w:lang w:val="en-AU"/>
    </w:rPr>
  </w:style>
  <w:style w:type="character" w:customStyle="1" w:styleId="70">
    <w:name w:val="Heading 4 Char"/>
    <w:basedOn w:val="16"/>
    <w:link w:val="6"/>
    <w:qFormat/>
    <w:uiPriority w:val="0"/>
    <w:rPr>
      <w:kern w:val="0"/>
      <w:sz w:val="22"/>
      <w:szCs w:val="28"/>
      <w:lang w:val="en-AU"/>
    </w:rPr>
  </w:style>
  <w:style w:type="character" w:customStyle="1" w:styleId="71">
    <w:name w:val="Heading 5 Char"/>
    <w:basedOn w:val="16"/>
    <w:link w:val="7"/>
    <w:qFormat/>
    <w:uiPriority w:val="0"/>
    <w:rPr>
      <w:kern w:val="0"/>
      <w:sz w:val="22"/>
      <w:szCs w:val="28"/>
      <w:lang w:val="en-AU"/>
    </w:rPr>
  </w:style>
  <w:style w:type="character" w:customStyle="1" w:styleId="72">
    <w:name w:val="Heading 6 Char"/>
    <w:basedOn w:val="16"/>
    <w:link w:val="8"/>
    <w:qFormat/>
    <w:uiPriority w:val="0"/>
    <w:rPr>
      <w:kern w:val="0"/>
      <w:sz w:val="22"/>
      <w:szCs w:val="28"/>
      <w:lang w:val="en-AU"/>
    </w:rPr>
  </w:style>
  <w:style w:type="character" w:customStyle="1" w:styleId="73">
    <w:name w:val="Heading 7 Char"/>
    <w:basedOn w:val="16"/>
    <w:link w:val="9"/>
    <w:qFormat/>
    <w:uiPriority w:val="0"/>
    <w:rPr>
      <w:kern w:val="0"/>
      <w:sz w:val="22"/>
      <w:szCs w:val="28"/>
      <w:lang w:val="en-AU"/>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B&amp;M">
  <a:themeElements>
    <a:clrScheme name="B&amp;M">
      <a:dk1>
        <a:srgbClr val="000000"/>
      </a:dk1>
      <a:lt1>
        <a:srgbClr val="FFFFFF"/>
      </a:lt1>
      <a:dk2>
        <a:srgbClr val="5F5F5F"/>
      </a:dk2>
      <a:lt2>
        <a:srgbClr val="C2C3C4"/>
      </a:lt2>
      <a:accent1>
        <a:srgbClr val="EE3135"/>
      </a:accent1>
      <a:accent2>
        <a:srgbClr val="AE132A"/>
      </a:accent2>
      <a:accent3>
        <a:srgbClr val="7A0223"/>
      </a:accent3>
      <a:accent4>
        <a:srgbClr val="002856"/>
      </a:accent4>
      <a:accent5>
        <a:srgbClr val="F58220"/>
      </a:accent5>
      <a:accent6>
        <a:srgbClr val="007B66"/>
      </a:accent6>
      <a:hlink>
        <a:srgbClr val="0000FF"/>
      </a:hlink>
      <a:folHlink>
        <a:srgbClr val="800080"/>
      </a:folHlink>
    </a:clrScheme>
    <a:fontScheme name="B&amp;M">
      <a:majorFont>
        <a:latin typeface="Arial"/>
        <a:ea typeface="PMingLiu"/>
        <a:cs typeface="Times New Roman"/>
        <a:font script="Jpan" typeface="MS Gothic"/>
      </a:majorFont>
      <a:minorFont>
        <a:latin typeface="Times New Roman"/>
        <a:ea typeface="PMingLiU"/>
        <a:cs typeface="Times New Roman"/>
        <a:font script="Jpan" typeface="MS Mincho"/>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135</Words>
  <Characters>772</Characters>
  <Lines>6</Lines>
  <Paragraphs>1</Paragraphs>
  <TotalTime>0</TotalTime>
  <ScaleCrop>false</ScaleCrop>
  <LinksUpToDate>false</LinksUpToDate>
  <CharactersWithSpaces>906</CharactersWithSpaces>
  <Application>WPS Office_11.8.2.10125_F1E327BC-269C-435d-A152-05C5408002CA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2024-10-30T22:37:00Z</dcterms:created>
  <dc:creator>FenXun Partners</dc:creator>
  <cp:lastModifiedBy>scjgj</cp:lastModifiedBy>
  <cp:lastPrinted>2024-11-02T01:28:00Z</cp:lastPrinted>
  <dcterms:modified xsi:type="dcterms:W3CDTF">2024-11-01T18:05:23Z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ies>
</file>