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after="240"/>
        <w:jc w:val="center"/>
        <w:rPr>
          <w:rFonts w:hint="default" w:ascii="Times New Roman" w:hAnsi="Times New Roman" w:eastAsia="黑体" w:cs="Times New Roman"/>
          <w:bCs/>
          <w:kern w:val="0"/>
          <w:sz w:val="44"/>
          <w:szCs w:val="44"/>
          <w:lang w:val="en-GB" w:bidi="ar-AE"/>
        </w:rPr>
      </w:pPr>
      <w:r>
        <w:rPr>
          <w:rFonts w:hint="eastAsia" w:ascii="黑体" w:hAnsi="黑体" w:eastAsia="黑体" w:cs="黑体"/>
          <w:bCs/>
          <w:kern w:val="0"/>
          <w:sz w:val="36"/>
          <w:szCs w:val="36"/>
          <w:lang w:val="en-GB" w:bidi="ar-AE"/>
        </w:rPr>
        <w:t>经营者集中简易案件公示表</w:t>
      </w:r>
    </w:p>
    <w:tbl>
      <w:tblPr>
        <w:tblStyle w:val="12"/>
        <w:tblW w:w="9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40"/>
        <w:gridCol w:w="1607"/>
        <w:gridCol w:w="60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6" w:hRule="atLeast"/>
          <w:jc w:val="center"/>
        </w:trPr>
        <w:tc>
          <w:tcPr>
            <w:tcW w:w="1940" w:type="dxa"/>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案件名称</w:t>
            </w:r>
          </w:p>
        </w:tc>
        <w:tc>
          <w:tcPr>
            <w:tcW w:w="7700" w:type="dxa"/>
            <w:gridSpan w:val="2"/>
            <w:shd w:val="clear" w:color="auto" w:fill="auto"/>
            <w:vAlign w:val="center"/>
          </w:tcPr>
          <w:p>
            <w:pPr>
              <w:adjustRightInd w:val="0"/>
              <w:snapToGrid w:val="0"/>
              <w:rPr>
                <w:rFonts w:hint="eastAsia" w:ascii="宋体" w:hAnsi="宋体" w:eastAsia="宋体" w:cs="宋体"/>
                <w:bCs/>
                <w:color w:val="000000"/>
                <w:sz w:val="24"/>
                <w:szCs w:val="24"/>
              </w:rPr>
            </w:pPr>
            <w:r>
              <w:rPr>
                <w:rFonts w:hint="eastAsia" w:ascii="宋体" w:hAnsi="宋体" w:eastAsia="宋体" w:cs="宋体"/>
                <w:bCs/>
                <w:color w:val="000000"/>
                <w:kern w:val="2"/>
                <w:sz w:val="24"/>
                <w:szCs w:val="24"/>
                <w:lang w:bidi="ar-SA"/>
              </w:rPr>
              <w:t>宁波均胜电子股份有限公司收购广东香山衡器集团股份有限公司股权案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0" w:hRule="atLeast"/>
          <w:jc w:val="center"/>
        </w:trPr>
        <w:tc>
          <w:tcPr>
            <w:tcW w:w="1940" w:type="dxa"/>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交易概况</w:t>
            </w:r>
          </w:p>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（限200字内）</w:t>
            </w:r>
          </w:p>
        </w:tc>
        <w:tc>
          <w:tcPr>
            <w:tcW w:w="7700" w:type="dxa"/>
            <w:gridSpan w:val="2"/>
            <w:vAlign w:val="center"/>
          </w:tcPr>
          <w:p>
            <w:pPr>
              <w:adjustRightInd w:val="0"/>
              <w:snapToGrid w:val="0"/>
              <w:rPr>
                <w:rFonts w:hint="eastAsia" w:ascii="宋体" w:hAnsi="宋体" w:eastAsia="宋体" w:cs="宋体"/>
                <w:bCs/>
                <w:color w:val="000000"/>
                <w:sz w:val="24"/>
                <w:szCs w:val="24"/>
              </w:rPr>
            </w:pPr>
            <w:r>
              <w:rPr>
                <w:rFonts w:hint="eastAsia" w:ascii="宋体" w:hAnsi="宋体" w:eastAsia="宋体" w:cs="宋体"/>
                <w:bCs/>
                <w:color w:val="000000"/>
                <w:sz w:val="24"/>
                <w:szCs w:val="24"/>
              </w:rPr>
              <w:t>宁波均胜电子股份有限公司（“均胜电子”）持有广东香山衡器集团股份有限公司（“香山股份”）23.3101%的股份。香山股份</w:t>
            </w:r>
            <w:r>
              <w:rPr>
                <w:rFonts w:hint="eastAsia" w:ascii="宋体" w:hAnsi="宋体" w:cs="宋体"/>
                <w:bCs/>
                <w:color w:val="000000"/>
                <w:sz w:val="24"/>
                <w:szCs w:val="24"/>
                <w:lang w:val="en-US" w:eastAsia="zh-CN"/>
              </w:rPr>
              <w:t>主要从事</w:t>
            </w:r>
            <w:r>
              <w:rPr>
                <w:rFonts w:hint="eastAsia" w:ascii="宋体" w:hAnsi="宋体" w:eastAsia="宋体" w:cs="宋体"/>
                <w:bCs/>
                <w:kern w:val="2"/>
                <w:sz w:val="24"/>
                <w:szCs w:val="24"/>
                <w:lang w:eastAsia="zh-CN" w:bidi="ar-SA"/>
              </w:rPr>
              <w:t>汽车零部件业务、衡器业务</w:t>
            </w:r>
            <w:r>
              <w:rPr>
                <w:rFonts w:hint="eastAsia" w:ascii="宋体" w:hAnsi="宋体" w:cs="宋体"/>
                <w:bCs/>
                <w:color w:val="000000"/>
                <w:sz w:val="24"/>
                <w:szCs w:val="24"/>
                <w:lang w:val="en-US" w:eastAsia="zh-CN"/>
              </w:rPr>
              <w:t>。</w:t>
            </w:r>
            <w:r>
              <w:rPr>
                <w:rFonts w:hint="eastAsia" w:ascii="宋体" w:hAnsi="宋体" w:eastAsia="宋体" w:cs="宋体"/>
                <w:bCs/>
                <w:color w:val="000000"/>
                <w:sz w:val="24"/>
                <w:szCs w:val="24"/>
              </w:rPr>
              <w:t>均胜电子拟通过集中竞价或大宗交易的方式，进一步增持香山股份。交易前，某自然人及其一致行动人</w:t>
            </w:r>
            <w:r>
              <w:rPr>
                <w:rFonts w:hint="eastAsia" w:ascii="宋体" w:hAnsi="宋体" w:cs="宋体"/>
                <w:bCs/>
                <w:color w:val="000000"/>
                <w:sz w:val="24"/>
                <w:szCs w:val="24"/>
                <w:lang w:val="en-US" w:eastAsia="zh-CN"/>
              </w:rPr>
              <w:t>持有</w:t>
            </w:r>
            <w:r>
              <w:rPr>
                <w:rFonts w:hint="eastAsia" w:ascii="宋体" w:hAnsi="宋体" w:eastAsia="宋体" w:cs="宋体"/>
                <w:bCs/>
                <w:color w:val="000000"/>
                <w:sz w:val="24"/>
                <w:szCs w:val="24"/>
              </w:rPr>
              <w:t>香山股份</w:t>
            </w:r>
            <w:r>
              <w:rPr>
                <w:rFonts w:hint="eastAsia" w:ascii="宋体" w:hAnsi="宋体" w:cs="宋体"/>
                <w:bCs/>
                <w:color w:val="000000"/>
                <w:sz w:val="24"/>
                <w:szCs w:val="24"/>
                <w:lang w:val="en-US" w:eastAsia="zh-CN"/>
              </w:rPr>
              <w:t>28.28%的股权，单独控制</w:t>
            </w:r>
            <w:r>
              <w:rPr>
                <w:rFonts w:hint="eastAsia" w:ascii="宋体" w:hAnsi="宋体" w:eastAsia="宋体" w:cs="宋体"/>
                <w:bCs/>
                <w:color w:val="000000"/>
                <w:sz w:val="24"/>
                <w:szCs w:val="24"/>
              </w:rPr>
              <w:t>香山股份。交易后，均胜电子将单独控制香山股份。</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8" w:hRule="atLeast"/>
          <w:jc w:val="center"/>
        </w:trPr>
        <w:tc>
          <w:tcPr>
            <w:tcW w:w="1940" w:type="dxa"/>
            <w:vMerge w:val="restart"/>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bookmarkStart w:id="0" w:name="_GoBack"/>
            <w:bookmarkEnd w:id="0"/>
            <w:r>
              <w:rPr>
                <w:rFonts w:hint="eastAsia" w:ascii="宋体" w:hAnsi="宋体" w:eastAsia="宋体" w:cs="宋体"/>
                <w:b w:val="0"/>
                <w:bCs/>
                <w:color w:val="000000"/>
                <w:sz w:val="24"/>
                <w:szCs w:val="24"/>
              </w:rPr>
              <w:t>参与集中的</w:t>
            </w:r>
          </w:p>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经营者简介</w:t>
            </w:r>
          </w:p>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（每个限100</w:t>
            </w:r>
          </w:p>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字以内）</w:t>
            </w:r>
          </w:p>
        </w:tc>
        <w:tc>
          <w:tcPr>
            <w:tcW w:w="1607" w:type="dxa"/>
            <w:vAlign w:val="center"/>
          </w:tcPr>
          <w:p>
            <w:pPr>
              <w:pStyle w:val="7"/>
              <w:adjustRightInd w:val="0"/>
              <w:snapToGrid w:val="0"/>
              <w:spacing w:after="0"/>
              <w:rPr>
                <w:rFonts w:hint="eastAsia" w:ascii="宋体" w:hAnsi="宋体" w:eastAsia="宋体" w:cs="宋体"/>
                <w:bCs/>
                <w:color w:val="000000"/>
                <w:sz w:val="24"/>
                <w:szCs w:val="24"/>
                <w:lang w:eastAsia="zh-CN"/>
              </w:rPr>
            </w:pPr>
            <w:r>
              <w:rPr>
                <w:rFonts w:hint="eastAsia" w:ascii="宋体" w:hAnsi="宋体" w:eastAsia="宋体" w:cs="宋体"/>
                <w:bCs/>
                <w:color w:val="000000"/>
                <w:sz w:val="24"/>
                <w:szCs w:val="24"/>
                <w:lang w:bidi="ar-SA"/>
              </w:rPr>
              <w:t>1. 均胜电子</w:t>
            </w:r>
          </w:p>
        </w:tc>
        <w:tc>
          <w:tcPr>
            <w:tcW w:w="6093" w:type="dxa"/>
            <w:vAlign w:val="center"/>
          </w:tcPr>
          <w:p>
            <w:pPr>
              <w:adjustRightInd w:val="0"/>
              <w:snapToGrid w:val="0"/>
              <w:jc w:val="left"/>
              <w:rPr>
                <w:rFonts w:hint="eastAsia" w:ascii="宋体" w:hAnsi="宋体" w:eastAsia="宋体" w:cs="宋体"/>
                <w:bCs/>
                <w:color w:val="000000"/>
                <w:sz w:val="24"/>
                <w:szCs w:val="24"/>
                <w:lang w:bidi="ar-SA"/>
              </w:rPr>
            </w:pPr>
            <w:r>
              <w:rPr>
                <w:rFonts w:hint="eastAsia" w:ascii="宋体" w:hAnsi="宋体" w:eastAsia="宋体" w:cs="宋体"/>
                <w:bCs/>
                <w:color w:val="000000"/>
                <w:sz w:val="24"/>
                <w:szCs w:val="24"/>
                <w:lang w:bidi="ar-SA"/>
              </w:rPr>
              <w:t>均胜电子于1992年8月7日成立于中国浙江省，为上海证券交易所上市公司，主要业务为汽车电子业务、汽车安全业务。</w:t>
            </w:r>
          </w:p>
          <w:p>
            <w:pPr>
              <w:adjustRightInd w:val="0"/>
              <w:snapToGrid w:val="0"/>
              <w:jc w:val="left"/>
              <w:rPr>
                <w:rFonts w:hint="eastAsia" w:ascii="宋体" w:hAnsi="宋体" w:eastAsia="宋体" w:cs="宋体"/>
                <w:bCs/>
                <w:color w:val="000000"/>
                <w:sz w:val="24"/>
                <w:szCs w:val="24"/>
                <w:lang w:eastAsia="zh-CN" w:bidi="ar-AE"/>
              </w:rPr>
            </w:pPr>
            <w:r>
              <w:rPr>
                <w:rFonts w:hint="eastAsia" w:ascii="宋体" w:hAnsi="宋体" w:eastAsia="宋体" w:cs="宋体"/>
                <w:bCs/>
                <w:color w:val="000000"/>
                <w:sz w:val="24"/>
                <w:szCs w:val="24"/>
                <w:lang w:bidi="ar-SA"/>
              </w:rPr>
              <w:t>均胜电子最终控制人为自然人，主要通过均胜电子开展业务。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4" w:hRule="atLeast"/>
          <w:jc w:val="center"/>
        </w:trPr>
        <w:tc>
          <w:tcPr>
            <w:tcW w:w="1940" w:type="dxa"/>
            <w:vMerge w:val="continue"/>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p>
        </w:tc>
        <w:tc>
          <w:tcPr>
            <w:tcW w:w="1607" w:type="dxa"/>
            <w:vAlign w:val="center"/>
          </w:tcPr>
          <w:p>
            <w:pPr>
              <w:pStyle w:val="7"/>
              <w:adjustRightInd w:val="0"/>
              <w:snapToGrid w:val="0"/>
              <w:spacing w:after="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rPr>
              <w:t xml:space="preserve">2. </w:t>
            </w:r>
            <w:r>
              <w:rPr>
                <w:rFonts w:hint="eastAsia" w:ascii="宋体" w:hAnsi="宋体" w:eastAsia="宋体" w:cs="宋体"/>
                <w:bCs/>
                <w:color w:val="000000"/>
                <w:sz w:val="24"/>
                <w:szCs w:val="24"/>
                <w:lang w:val="en-US" w:eastAsia="zh-CN"/>
              </w:rPr>
              <w:t>香山股份</w:t>
            </w:r>
          </w:p>
        </w:tc>
        <w:tc>
          <w:tcPr>
            <w:tcW w:w="6093" w:type="dxa"/>
            <w:vAlign w:val="center"/>
          </w:tcPr>
          <w:p>
            <w:pPr>
              <w:widowControl/>
              <w:adjustRightInd w:val="0"/>
              <w:snapToGrid w:val="0"/>
              <w:rPr>
                <w:rFonts w:hint="eastAsia" w:ascii="宋体" w:hAnsi="宋体" w:eastAsia="宋体" w:cs="宋体"/>
                <w:bCs/>
                <w:color w:val="000000"/>
                <w:sz w:val="24"/>
                <w:szCs w:val="24"/>
                <w:lang w:val="en-US" w:eastAsia="zh-CN"/>
              </w:rPr>
            </w:pPr>
            <w:r>
              <w:rPr>
                <w:rFonts w:hint="eastAsia" w:ascii="宋体" w:hAnsi="宋体" w:eastAsia="宋体" w:cs="宋体"/>
                <w:bCs/>
                <w:color w:val="000000"/>
                <w:sz w:val="24"/>
                <w:szCs w:val="24"/>
                <w:lang w:val="en-US" w:eastAsia="zh-CN"/>
              </w:rPr>
              <w:t>香山股份于1999年6月22日成立于中国广东省，为深圳证券交易所上市公司，主要业务为汽车零部件业务、衡器业务。</w:t>
            </w:r>
          </w:p>
          <w:p>
            <w:pPr>
              <w:widowControl/>
              <w:adjustRightInd w:val="0"/>
              <w:snapToGrid w:val="0"/>
              <w:rPr>
                <w:rFonts w:hint="eastAsia" w:ascii="宋体" w:hAnsi="宋体" w:eastAsia="宋体" w:cs="宋体"/>
                <w:bCs/>
                <w:color w:val="000000"/>
                <w:kern w:val="2"/>
                <w:sz w:val="24"/>
                <w:szCs w:val="24"/>
                <w:lang w:bidi="ar-AE"/>
              </w:rPr>
            </w:pPr>
            <w:r>
              <w:rPr>
                <w:rFonts w:hint="eastAsia" w:ascii="宋体" w:hAnsi="宋体" w:eastAsia="宋体" w:cs="宋体"/>
                <w:bCs/>
                <w:color w:val="000000"/>
                <w:sz w:val="24"/>
                <w:szCs w:val="24"/>
                <w:lang w:val="en-US" w:eastAsia="zh-CN"/>
              </w:rPr>
              <w:t>香山股份最终控制人为自然人，主要通过香山股份开展业务。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940" w:type="dxa"/>
            <w:vMerge w:val="restart"/>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简易案件理由（可以单选，</w:t>
            </w:r>
          </w:p>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也可以多选）</w:t>
            </w:r>
          </w:p>
        </w:tc>
        <w:tc>
          <w:tcPr>
            <w:tcW w:w="7700" w:type="dxa"/>
            <w:gridSpan w:val="2"/>
            <w:vAlign w:val="center"/>
          </w:tcPr>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Cs/>
                <w:color w:val="000000"/>
                <w:sz w:val="24"/>
                <w:szCs w:val="24"/>
              </w:rPr>
              <w:sym w:font="Wingdings" w:char="00A8"/>
            </w:r>
            <w:r>
              <w:rPr>
                <w:rFonts w:hint="eastAsia" w:ascii="宋体" w:hAnsi="宋体" w:eastAsia="宋体" w:cs="宋体"/>
                <w:bCs/>
                <w:color w:val="00000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940" w:type="dxa"/>
            <w:vMerge w:val="continue"/>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p>
        </w:tc>
        <w:tc>
          <w:tcPr>
            <w:tcW w:w="7700" w:type="dxa"/>
            <w:gridSpan w:val="2"/>
            <w:vAlign w:val="center"/>
          </w:tcPr>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Cs/>
                <w:color w:val="000000"/>
                <w:sz w:val="24"/>
                <w:szCs w:val="24"/>
              </w:rPr>
              <w:sym w:font="Wingdings" w:char="00A8"/>
            </w:r>
            <w:r>
              <w:rPr>
                <w:rFonts w:hint="eastAsia" w:ascii="宋体" w:hAnsi="宋体" w:eastAsia="宋体" w:cs="宋体"/>
                <w:bCs/>
                <w:color w:val="00000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940" w:type="dxa"/>
            <w:vMerge w:val="continue"/>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p>
        </w:tc>
        <w:tc>
          <w:tcPr>
            <w:tcW w:w="7700" w:type="dxa"/>
            <w:gridSpan w:val="2"/>
            <w:vAlign w:val="center"/>
          </w:tcPr>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Cs/>
                <w:color w:val="000000"/>
                <w:sz w:val="24"/>
                <w:szCs w:val="24"/>
              </w:rPr>
              <w:sym w:font="Wingdings" w:char="00FE"/>
            </w:r>
            <w:r>
              <w:rPr>
                <w:rFonts w:hint="eastAsia" w:ascii="宋体" w:hAnsi="宋体" w:eastAsia="宋体" w:cs="宋体"/>
                <w:bCs/>
                <w:color w:val="00000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940" w:type="dxa"/>
            <w:vMerge w:val="continue"/>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p>
        </w:tc>
        <w:tc>
          <w:tcPr>
            <w:tcW w:w="7700" w:type="dxa"/>
            <w:gridSpan w:val="2"/>
            <w:vAlign w:val="center"/>
          </w:tcPr>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Cs/>
                <w:color w:val="000000"/>
                <w:sz w:val="24"/>
                <w:szCs w:val="24"/>
              </w:rPr>
              <w:sym w:font="Wingdings" w:char="00A8"/>
            </w:r>
            <w:r>
              <w:rPr>
                <w:rFonts w:hint="eastAsia" w:ascii="宋体" w:hAnsi="宋体" w:eastAsia="宋体" w:cs="宋体"/>
                <w:bCs/>
                <w:color w:val="00000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940" w:type="dxa"/>
            <w:vMerge w:val="continue"/>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p>
        </w:tc>
        <w:tc>
          <w:tcPr>
            <w:tcW w:w="7700" w:type="dxa"/>
            <w:gridSpan w:val="2"/>
            <w:vAlign w:val="center"/>
          </w:tcPr>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Cs/>
                <w:color w:val="000000"/>
                <w:sz w:val="24"/>
                <w:szCs w:val="24"/>
              </w:rPr>
              <w:sym w:font="Wingdings" w:char="00A8"/>
            </w:r>
            <w:r>
              <w:rPr>
                <w:rFonts w:hint="eastAsia" w:ascii="宋体" w:hAnsi="宋体" w:eastAsia="宋体" w:cs="宋体"/>
                <w:bCs/>
                <w:color w:val="00000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8" w:hRule="atLeast"/>
          <w:jc w:val="center"/>
        </w:trPr>
        <w:tc>
          <w:tcPr>
            <w:tcW w:w="1940" w:type="dxa"/>
            <w:vMerge w:val="continue"/>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p>
        </w:tc>
        <w:tc>
          <w:tcPr>
            <w:tcW w:w="7700" w:type="dxa"/>
            <w:gridSpan w:val="2"/>
            <w:vAlign w:val="center"/>
          </w:tcPr>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Cs/>
                <w:color w:val="000000"/>
                <w:sz w:val="24"/>
                <w:szCs w:val="24"/>
              </w:rPr>
              <w:sym w:font="Wingdings" w:char="00A8"/>
            </w:r>
            <w:r>
              <w:rPr>
                <w:rFonts w:hint="eastAsia" w:ascii="宋体" w:hAnsi="宋体" w:eastAsia="宋体" w:cs="宋体"/>
                <w:bCs/>
                <w:color w:val="00000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99" w:hRule="atLeast"/>
          <w:jc w:val="center"/>
        </w:trPr>
        <w:tc>
          <w:tcPr>
            <w:tcW w:w="1940" w:type="dxa"/>
            <w:shd w:val="clear" w:color="auto" w:fill="auto"/>
            <w:vAlign w:val="center"/>
          </w:tcPr>
          <w:p>
            <w:pPr>
              <w:pStyle w:val="7"/>
              <w:adjustRightInd w:val="0"/>
              <w:snapToGrid w:val="0"/>
              <w:spacing w:after="0"/>
              <w:jc w:val="center"/>
              <w:rPr>
                <w:rFonts w:hint="eastAsia" w:ascii="宋体" w:hAnsi="宋体" w:eastAsia="宋体" w:cs="宋体"/>
                <w:b w:val="0"/>
                <w:bCs/>
                <w:color w:val="000000"/>
                <w:sz w:val="24"/>
                <w:szCs w:val="24"/>
              </w:rPr>
            </w:pPr>
            <w:r>
              <w:rPr>
                <w:rFonts w:hint="eastAsia" w:ascii="宋体" w:hAnsi="宋体" w:eastAsia="宋体" w:cs="宋体"/>
                <w:b w:val="0"/>
                <w:bCs/>
                <w:color w:val="000000"/>
                <w:sz w:val="24"/>
                <w:szCs w:val="24"/>
              </w:rPr>
              <w:t>备注</w:t>
            </w:r>
          </w:p>
        </w:tc>
        <w:tc>
          <w:tcPr>
            <w:tcW w:w="7700" w:type="dxa"/>
            <w:gridSpan w:val="2"/>
            <w:vAlign w:val="center"/>
          </w:tcPr>
          <w:p>
            <w:pPr>
              <w:pStyle w:val="7"/>
              <w:adjustRightInd w:val="0"/>
              <w:snapToGrid w:val="0"/>
              <w:spacing w:after="0"/>
              <w:rPr>
                <w:rFonts w:hint="eastAsia" w:ascii="宋体" w:hAnsi="宋体" w:eastAsia="宋体" w:cs="宋体"/>
                <w:b/>
                <w:bCs w:val="0"/>
                <w:color w:val="000000"/>
                <w:sz w:val="24"/>
                <w:szCs w:val="24"/>
                <w:lang w:eastAsia="zh-CN"/>
              </w:rPr>
            </w:pPr>
            <w:r>
              <w:rPr>
                <w:rFonts w:hint="eastAsia" w:ascii="宋体" w:hAnsi="宋体" w:eastAsia="宋体" w:cs="宋体"/>
                <w:b/>
                <w:bCs w:val="0"/>
                <w:color w:val="000000"/>
                <w:sz w:val="24"/>
                <w:szCs w:val="24"/>
                <w:lang w:val="en-US" w:eastAsia="zh-CN"/>
              </w:rPr>
              <w:t>混合重叠</w:t>
            </w:r>
            <w:r>
              <w:rPr>
                <w:rFonts w:hint="eastAsia" w:ascii="宋体" w:hAnsi="宋体" w:eastAsia="宋体" w:cs="宋体"/>
                <w:b/>
                <w:bCs w:val="0"/>
                <w:color w:val="000000"/>
                <w:sz w:val="24"/>
                <w:szCs w:val="24"/>
                <w:lang w:eastAsia="zh-CN"/>
              </w:rPr>
              <w:t>：</w:t>
            </w:r>
          </w:p>
          <w:p>
            <w:pPr>
              <w:pStyle w:val="7"/>
              <w:adjustRightInd w:val="0"/>
              <w:snapToGrid w:val="0"/>
              <w:spacing w:after="0"/>
              <w:rPr>
                <w:rFonts w:hint="eastAsia" w:ascii="宋体" w:hAnsi="宋体" w:eastAsia="宋体" w:cs="宋体"/>
                <w:b w:val="0"/>
                <w:bCs/>
                <w:color w:val="000000"/>
                <w:sz w:val="24"/>
                <w:szCs w:val="24"/>
                <w:lang w:eastAsia="zh-CN"/>
              </w:rPr>
            </w:pPr>
            <w:r>
              <w:rPr>
                <w:rFonts w:hint="eastAsia" w:ascii="宋体" w:hAnsi="宋体" w:eastAsia="宋体" w:cs="宋体"/>
                <w:b w:val="0"/>
                <w:bCs/>
                <w:color w:val="000000"/>
                <w:sz w:val="24"/>
                <w:szCs w:val="24"/>
                <w:lang w:eastAsia="zh-CN"/>
              </w:rPr>
              <w:t>2023年中国境内汽车内饰件市场</w:t>
            </w:r>
          </w:p>
          <w:p>
            <w:pPr>
              <w:pStyle w:val="7"/>
              <w:adjustRightInd w:val="0"/>
              <w:snapToGrid w:val="0"/>
              <w:spacing w:after="0"/>
              <w:rPr>
                <w:rFonts w:hint="eastAsia" w:ascii="宋体" w:hAnsi="宋体" w:eastAsia="宋体" w:cs="宋体"/>
                <w:b w:val="0"/>
                <w:bCs/>
                <w:color w:val="000000"/>
                <w:sz w:val="24"/>
                <w:szCs w:val="24"/>
                <w:lang w:eastAsia="zh-CN"/>
              </w:rPr>
            </w:pPr>
            <w:r>
              <w:rPr>
                <w:rFonts w:hint="eastAsia" w:ascii="宋体" w:hAnsi="宋体" w:eastAsia="宋体" w:cs="宋体"/>
                <w:b w:val="0"/>
                <w:bCs/>
                <w:color w:val="000000"/>
                <w:sz w:val="24"/>
                <w:szCs w:val="24"/>
                <w:lang w:eastAsia="zh-CN"/>
              </w:rPr>
              <w:t>香山股份：0-5%</w:t>
            </w:r>
          </w:p>
          <w:p>
            <w:pPr>
              <w:pStyle w:val="7"/>
              <w:adjustRightInd w:val="0"/>
              <w:snapToGrid w:val="0"/>
              <w:spacing w:after="0"/>
              <w:rPr>
                <w:rFonts w:hint="eastAsia" w:ascii="宋体" w:hAnsi="宋体" w:eastAsia="宋体" w:cs="宋体"/>
                <w:b w:val="0"/>
                <w:bCs/>
                <w:color w:val="000000"/>
                <w:sz w:val="24"/>
                <w:szCs w:val="24"/>
                <w:lang w:eastAsia="zh-CN"/>
              </w:rPr>
            </w:pPr>
          </w:p>
          <w:p>
            <w:pPr>
              <w:pStyle w:val="7"/>
              <w:adjustRightInd w:val="0"/>
              <w:snapToGrid w:val="0"/>
              <w:spacing w:after="0"/>
              <w:rPr>
                <w:rFonts w:hint="eastAsia" w:ascii="宋体" w:hAnsi="宋体" w:eastAsia="宋体" w:cs="宋体"/>
                <w:b w:val="0"/>
                <w:bCs/>
                <w:color w:val="000000"/>
                <w:sz w:val="24"/>
                <w:szCs w:val="24"/>
                <w:lang w:eastAsia="zh-CN"/>
              </w:rPr>
            </w:pPr>
            <w:r>
              <w:rPr>
                <w:rFonts w:hint="eastAsia" w:ascii="宋体" w:hAnsi="宋体" w:eastAsia="宋体" w:cs="宋体"/>
                <w:b w:val="0"/>
                <w:bCs/>
                <w:color w:val="000000"/>
                <w:sz w:val="24"/>
                <w:szCs w:val="24"/>
                <w:lang w:eastAsia="zh-CN"/>
              </w:rPr>
              <w:t>2023年中国境内汽车出风口市场</w:t>
            </w:r>
          </w:p>
          <w:p>
            <w:pPr>
              <w:pStyle w:val="7"/>
              <w:adjustRightInd w:val="0"/>
              <w:snapToGrid w:val="0"/>
              <w:spacing w:after="0"/>
              <w:rPr>
                <w:rFonts w:hint="eastAsia" w:ascii="宋体" w:hAnsi="宋体" w:eastAsia="宋体" w:cs="宋体"/>
                <w:bCs/>
                <w:color w:val="000000"/>
                <w:sz w:val="24"/>
                <w:szCs w:val="24"/>
              </w:rPr>
            </w:pPr>
            <w:r>
              <w:rPr>
                <w:rFonts w:hint="eastAsia" w:ascii="宋体" w:hAnsi="宋体" w:eastAsia="宋体" w:cs="宋体"/>
                <w:b w:val="0"/>
                <w:bCs/>
                <w:color w:val="000000"/>
                <w:sz w:val="24"/>
                <w:szCs w:val="24"/>
                <w:lang w:eastAsia="zh-CN"/>
              </w:rPr>
              <w:t>香山股份：10-20%</w:t>
            </w:r>
          </w:p>
        </w:tc>
      </w:tr>
    </w:tbl>
    <w:p>
      <w:pPr>
        <w:adjustRightInd w:val="0"/>
        <w:snapToGrid w:val="0"/>
        <w:rPr>
          <w:rFonts w:hint="default" w:ascii="Times New Roman" w:hAnsi="Times New Roman" w:cs="Times New Roman" w:eastAsiaTheme="minorEastAsia"/>
        </w:rPr>
      </w:pPr>
    </w:p>
    <w:p>
      <w:pPr>
        <w:rPr>
          <w:rFonts w:hint="default" w:ascii="Times New Roman" w:hAnsi="Times New Roman" w:cs="Times New Roman" w:eastAsiaTheme="minorEastAsia"/>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script"/>
    <w:pitch w:val="default"/>
    <w:sig w:usb0="A00002BF" w:usb1="184F6CFA" w:usb2="00000012" w:usb3="00000000" w:csb0="00040001" w:csb1="00000000"/>
  </w:font>
  <w:font w:name="Simplified Arabic">
    <w:altName w:val="Arial"/>
    <w:panose1 w:val="02020603050405020304"/>
    <w:charset w:val="B2"/>
    <w:family w:val="roman"/>
    <w:pitch w:val="default"/>
    <w:sig w:usb0="00000000" w:usb1="00000000" w:usb2="00000000" w:usb3="00000000" w:csb0="00000041" w:csb1="20080000"/>
  </w:font>
  <w:font w:name="楷体_GB2312">
    <w:panose1 w:val="02010609030101010101"/>
    <w:charset w:val="86"/>
    <w:family w:val="modern"/>
    <w:pitch w:val="default"/>
    <w:sig w:usb0="00000001" w:usb1="080E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false"/>
  <w:bordersDoNotSurroundFooter w:val="fals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k1Nzg2Yzk0OTU3YjY2MGZjZDE3YjZmMzRiYmI2NzMifQ=="/>
  </w:docVars>
  <w:rsids>
    <w:rsidRoot w:val="511505E7"/>
    <w:rsid w:val="00042BDD"/>
    <w:rsid w:val="0007692D"/>
    <w:rsid w:val="00087338"/>
    <w:rsid w:val="00114814"/>
    <w:rsid w:val="001B50F2"/>
    <w:rsid w:val="001C6148"/>
    <w:rsid w:val="001F1C3C"/>
    <w:rsid w:val="0022179C"/>
    <w:rsid w:val="00221FCA"/>
    <w:rsid w:val="00244DF9"/>
    <w:rsid w:val="00284710"/>
    <w:rsid w:val="00332EAC"/>
    <w:rsid w:val="00346B84"/>
    <w:rsid w:val="00367A54"/>
    <w:rsid w:val="004C4C54"/>
    <w:rsid w:val="00500F51"/>
    <w:rsid w:val="00504BEC"/>
    <w:rsid w:val="00507863"/>
    <w:rsid w:val="005C4EFC"/>
    <w:rsid w:val="0062408E"/>
    <w:rsid w:val="00627CE6"/>
    <w:rsid w:val="00646E32"/>
    <w:rsid w:val="006A20C6"/>
    <w:rsid w:val="006C3B44"/>
    <w:rsid w:val="00707821"/>
    <w:rsid w:val="0072474D"/>
    <w:rsid w:val="00734F51"/>
    <w:rsid w:val="007D63FA"/>
    <w:rsid w:val="007F706B"/>
    <w:rsid w:val="00816711"/>
    <w:rsid w:val="00826195"/>
    <w:rsid w:val="008472A3"/>
    <w:rsid w:val="00876497"/>
    <w:rsid w:val="009040AD"/>
    <w:rsid w:val="00934D60"/>
    <w:rsid w:val="00A73286"/>
    <w:rsid w:val="00B45330"/>
    <w:rsid w:val="00B93533"/>
    <w:rsid w:val="00BC4863"/>
    <w:rsid w:val="00BD3FB4"/>
    <w:rsid w:val="00BE051D"/>
    <w:rsid w:val="00C046B3"/>
    <w:rsid w:val="00D11F6E"/>
    <w:rsid w:val="00D14CED"/>
    <w:rsid w:val="00E40607"/>
    <w:rsid w:val="00E4263C"/>
    <w:rsid w:val="00E466FD"/>
    <w:rsid w:val="00F63099"/>
    <w:rsid w:val="00F7053E"/>
    <w:rsid w:val="00F90810"/>
    <w:rsid w:val="00FD5EA5"/>
    <w:rsid w:val="00FF42DD"/>
    <w:rsid w:val="011DF4EB"/>
    <w:rsid w:val="01B165CE"/>
    <w:rsid w:val="0217304F"/>
    <w:rsid w:val="02515359"/>
    <w:rsid w:val="030806B1"/>
    <w:rsid w:val="03490091"/>
    <w:rsid w:val="03D70EC9"/>
    <w:rsid w:val="04AD3DAA"/>
    <w:rsid w:val="04B425C4"/>
    <w:rsid w:val="04B85AFF"/>
    <w:rsid w:val="05AB50DB"/>
    <w:rsid w:val="05D45367"/>
    <w:rsid w:val="05D830A9"/>
    <w:rsid w:val="06075F29"/>
    <w:rsid w:val="072729B8"/>
    <w:rsid w:val="07965778"/>
    <w:rsid w:val="07D6476B"/>
    <w:rsid w:val="087232C3"/>
    <w:rsid w:val="08D6542E"/>
    <w:rsid w:val="08ED34FD"/>
    <w:rsid w:val="093446A7"/>
    <w:rsid w:val="0AF22185"/>
    <w:rsid w:val="0B1835C3"/>
    <w:rsid w:val="0B63273E"/>
    <w:rsid w:val="0BD91CE7"/>
    <w:rsid w:val="0C6B60D7"/>
    <w:rsid w:val="0DE526A7"/>
    <w:rsid w:val="0E5C7E9D"/>
    <w:rsid w:val="0EEC791B"/>
    <w:rsid w:val="0F272A69"/>
    <w:rsid w:val="0FA436B7"/>
    <w:rsid w:val="0FBBC6D8"/>
    <w:rsid w:val="0FCA58AB"/>
    <w:rsid w:val="10C02711"/>
    <w:rsid w:val="11D03D09"/>
    <w:rsid w:val="12ED74AA"/>
    <w:rsid w:val="130B6D76"/>
    <w:rsid w:val="13236AF1"/>
    <w:rsid w:val="13D6674E"/>
    <w:rsid w:val="13E07C3F"/>
    <w:rsid w:val="140C03C2"/>
    <w:rsid w:val="150C1E94"/>
    <w:rsid w:val="15D94F21"/>
    <w:rsid w:val="15E47716"/>
    <w:rsid w:val="164C161E"/>
    <w:rsid w:val="164E6A70"/>
    <w:rsid w:val="1680064E"/>
    <w:rsid w:val="170576D4"/>
    <w:rsid w:val="17436509"/>
    <w:rsid w:val="19C05ED6"/>
    <w:rsid w:val="1A9B628C"/>
    <w:rsid w:val="1AA11230"/>
    <w:rsid w:val="1AAF1ED2"/>
    <w:rsid w:val="1B203E27"/>
    <w:rsid w:val="1B2D6269"/>
    <w:rsid w:val="1BF9394B"/>
    <w:rsid w:val="1BF9AB71"/>
    <w:rsid w:val="1C361957"/>
    <w:rsid w:val="1C896A53"/>
    <w:rsid w:val="1CDE1971"/>
    <w:rsid w:val="1DA24124"/>
    <w:rsid w:val="1DFE30C6"/>
    <w:rsid w:val="1F2073B8"/>
    <w:rsid w:val="1FC81833"/>
    <w:rsid w:val="1FEC41EB"/>
    <w:rsid w:val="20C2797E"/>
    <w:rsid w:val="215B059A"/>
    <w:rsid w:val="21A34ECE"/>
    <w:rsid w:val="22151D28"/>
    <w:rsid w:val="24606B41"/>
    <w:rsid w:val="246736EB"/>
    <w:rsid w:val="24840815"/>
    <w:rsid w:val="25C17900"/>
    <w:rsid w:val="261144B9"/>
    <w:rsid w:val="27B435B3"/>
    <w:rsid w:val="27ED6C10"/>
    <w:rsid w:val="28180C8B"/>
    <w:rsid w:val="281C288D"/>
    <w:rsid w:val="289A6D28"/>
    <w:rsid w:val="28C0322D"/>
    <w:rsid w:val="2B795B9C"/>
    <w:rsid w:val="2C0C7CCC"/>
    <w:rsid w:val="2C7548FE"/>
    <w:rsid w:val="2CAC25FF"/>
    <w:rsid w:val="2CD226C8"/>
    <w:rsid w:val="2D522E91"/>
    <w:rsid w:val="2DE926AB"/>
    <w:rsid w:val="2DFF8C0F"/>
    <w:rsid w:val="2E306E1C"/>
    <w:rsid w:val="2E3A679A"/>
    <w:rsid w:val="2ECF569F"/>
    <w:rsid w:val="2F0902B7"/>
    <w:rsid w:val="3025112D"/>
    <w:rsid w:val="312B5BF1"/>
    <w:rsid w:val="319E78FD"/>
    <w:rsid w:val="32627887"/>
    <w:rsid w:val="339B1A7D"/>
    <w:rsid w:val="34390907"/>
    <w:rsid w:val="34527864"/>
    <w:rsid w:val="34C47975"/>
    <w:rsid w:val="356065C1"/>
    <w:rsid w:val="35741F7B"/>
    <w:rsid w:val="35927D49"/>
    <w:rsid w:val="36647739"/>
    <w:rsid w:val="36722108"/>
    <w:rsid w:val="369779D3"/>
    <w:rsid w:val="37331BEA"/>
    <w:rsid w:val="37736187"/>
    <w:rsid w:val="37B207B5"/>
    <w:rsid w:val="37EC4B4C"/>
    <w:rsid w:val="38BA743C"/>
    <w:rsid w:val="39A13EE2"/>
    <w:rsid w:val="3A7D25F4"/>
    <w:rsid w:val="3B6C128B"/>
    <w:rsid w:val="3BF42FA2"/>
    <w:rsid w:val="3C1B3849"/>
    <w:rsid w:val="3D9B09E2"/>
    <w:rsid w:val="3DBE0E38"/>
    <w:rsid w:val="3DCF2C73"/>
    <w:rsid w:val="3E3B322A"/>
    <w:rsid w:val="3EB7365E"/>
    <w:rsid w:val="3EBE2D3F"/>
    <w:rsid w:val="3ED7D01C"/>
    <w:rsid w:val="3EE73D98"/>
    <w:rsid w:val="3F731880"/>
    <w:rsid w:val="3F770160"/>
    <w:rsid w:val="3FFFF7A9"/>
    <w:rsid w:val="40907B01"/>
    <w:rsid w:val="40D7777E"/>
    <w:rsid w:val="411053AE"/>
    <w:rsid w:val="41D779C0"/>
    <w:rsid w:val="436E421B"/>
    <w:rsid w:val="43E353FE"/>
    <w:rsid w:val="45730AF9"/>
    <w:rsid w:val="45E92E66"/>
    <w:rsid w:val="46845245"/>
    <w:rsid w:val="46F216C3"/>
    <w:rsid w:val="48567BBA"/>
    <w:rsid w:val="48604985"/>
    <w:rsid w:val="48C332AF"/>
    <w:rsid w:val="497C6EBD"/>
    <w:rsid w:val="49857111"/>
    <w:rsid w:val="498A72A0"/>
    <w:rsid w:val="4A9B460E"/>
    <w:rsid w:val="4C5440D8"/>
    <w:rsid w:val="4C824703"/>
    <w:rsid w:val="4CC01CF8"/>
    <w:rsid w:val="4CFD75DE"/>
    <w:rsid w:val="4D533669"/>
    <w:rsid w:val="4D611881"/>
    <w:rsid w:val="4DB67BAD"/>
    <w:rsid w:val="4DBF710D"/>
    <w:rsid w:val="4E585190"/>
    <w:rsid w:val="4E626EA5"/>
    <w:rsid w:val="4F51499D"/>
    <w:rsid w:val="4F7D0643"/>
    <w:rsid w:val="50602E38"/>
    <w:rsid w:val="50CB3BDA"/>
    <w:rsid w:val="511505E7"/>
    <w:rsid w:val="5251600F"/>
    <w:rsid w:val="5275657D"/>
    <w:rsid w:val="53701092"/>
    <w:rsid w:val="53DE53F7"/>
    <w:rsid w:val="549363D0"/>
    <w:rsid w:val="54D26C3D"/>
    <w:rsid w:val="54DD7AC9"/>
    <w:rsid w:val="55413F6A"/>
    <w:rsid w:val="558A3AEC"/>
    <w:rsid w:val="55FF4F39"/>
    <w:rsid w:val="563C0C84"/>
    <w:rsid w:val="567C47AD"/>
    <w:rsid w:val="568C7EFA"/>
    <w:rsid w:val="56AE494D"/>
    <w:rsid w:val="5721053D"/>
    <w:rsid w:val="59BC78A1"/>
    <w:rsid w:val="5A320350"/>
    <w:rsid w:val="5A4E1134"/>
    <w:rsid w:val="5A755946"/>
    <w:rsid w:val="5A8F5421"/>
    <w:rsid w:val="5AB07923"/>
    <w:rsid w:val="5AB377AC"/>
    <w:rsid w:val="5ACC35A2"/>
    <w:rsid w:val="5ADB7A9F"/>
    <w:rsid w:val="5B6172AE"/>
    <w:rsid w:val="5BDF7AA8"/>
    <w:rsid w:val="5C841DA5"/>
    <w:rsid w:val="5CC770F3"/>
    <w:rsid w:val="5D4D6706"/>
    <w:rsid w:val="5D814602"/>
    <w:rsid w:val="5DFF5221"/>
    <w:rsid w:val="5E606197"/>
    <w:rsid w:val="5E758AD3"/>
    <w:rsid w:val="5EEC63F2"/>
    <w:rsid w:val="5EFFEB53"/>
    <w:rsid w:val="5F5B3889"/>
    <w:rsid w:val="5F7404E1"/>
    <w:rsid w:val="60B85CFA"/>
    <w:rsid w:val="61AC7C2D"/>
    <w:rsid w:val="61F32521"/>
    <w:rsid w:val="63F6661D"/>
    <w:rsid w:val="64F94FB6"/>
    <w:rsid w:val="64FB3632"/>
    <w:rsid w:val="64FF0119"/>
    <w:rsid w:val="650C61D5"/>
    <w:rsid w:val="65183212"/>
    <w:rsid w:val="654F569B"/>
    <w:rsid w:val="65654809"/>
    <w:rsid w:val="65AC0421"/>
    <w:rsid w:val="65CA3AA1"/>
    <w:rsid w:val="67090219"/>
    <w:rsid w:val="6754015D"/>
    <w:rsid w:val="676B6497"/>
    <w:rsid w:val="677B0DDC"/>
    <w:rsid w:val="67885F66"/>
    <w:rsid w:val="67D469E8"/>
    <w:rsid w:val="67EA3883"/>
    <w:rsid w:val="685D233B"/>
    <w:rsid w:val="69016322"/>
    <w:rsid w:val="69C0748D"/>
    <w:rsid w:val="6A675526"/>
    <w:rsid w:val="6A7D30C3"/>
    <w:rsid w:val="6ABB6FCD"/>
    <w:rsid w:val="6B324809"/>
    <w:rsid w:val="6B9261CD"/>
    <w:rsid w:val="6B9A71CB"/>
    <w:rsid w:val="6BC3235C"/>
    <w:rsid w:val="6BCB1BF4"/>
    <w:rsid w:val="6BCC0CB3"/>
    <w:rsid w:val="6C45316D"/>
    <w:rsid w:val="6CBF87B4"/>
    <w:rsid w:val="6DE05374"/>
    <w:rsid w:val="6DEFBAE0"/>
    <w:rsid w:val="6E372E5F"/>
    <w:rsid w:val="6E3FE820"/>
    <w:rsid w:val="6E786ABC"/>
    <w:rsid w:val="6F538C10"/>
    <w:rsid w:val="6FDF5799"/>
    <w:rsid w:val="710A7485"/>
    <w:rsid w:val="71394751"/>
    <w:rsid w:val="72131803"/>
    <w:rsid w:val="723024E6"/>
    <w:rsid w:val="73026B48"/>
    <w:rsid w:val="73115126"/>
    <w:rsid w:val="742F314F"/>
    <w:rsid w:val="74566BED"/>
    <w:rsid w:val="74CE550B"/>
    <w:rsid w:val="74FA9F2D"/>
    <w:rsid w:val="753541F8"/>
    <w:rsid w:val="755F49C7"/>
    <w:rsid w:val="762229CE"/>
    <w:rsid w:val="767FE0B3"/>
    <w:rsid w:val="76AFBFF1"/>
    <w:rsid w:val="76CA40F3"/>
    <w:rsid w:val="77527FDF"/>
    <w:rsid w:val="77AFF4F6"/>
    <w:rsid w:val="77FF6A8C"/>
    <w:rsid w:val="77FFCFC3"/>
    <w:rsid w:val="78410251"/>
    <w:rsid w:val="793FB7A1"/>
    <w:rsid w:val="79711CC9"/>
    <w:rsid w:val="798B6ADC"/>
    <w:rsid w:val="7A303964"/>
    <w:rsid w:val="7A66B182"/>
    <w:rsid w:val="7A9C06E1"/>
    <w:rsid w:val="7AB91678"/>
    <w:rsid w:val="7B3063B8"/>
    <w:rsid w:val="7B8F578C"/>
    <w:rsid w:val="7B9A66EF"/>
    <w:rsid w:val="7BAB6FC2"/>
    <w:rsid w:val="7BE411F0"/>
    <w:rsid w:val="7BFFD823"/>
    <w:rsid w:val="7C5E0D7C"/>
    <w:rsid w:val="7C7918BC"/>
    <w:rsid w:val="7DA6172B"/>
    <w:rsid w:val="7DCE664D"/>
    <w:rsid w:val="7EE72273"/>
    <w:rsid w:val="7EF7CDD2"/>
    <w:rsid w:val="7F193061"/>
    <w:rsid w:val="7F7BEB9D"/>
    <w:rsid w:val="7FAA4333"/>
    <w:rsid w:val="7FBF2495"/>
    <w:rsid w:val="7FDCAB43"/>
    <w:rsid w:val="7FE15510"/>
    <w:rsid w:val="7FE91E78"/>
    <w:rsid w:val="7FF500C7"/>
    <w:rsid w:val="7FFDE69B"/>
    <w:rsid w:val="9CBD0B1A"/>
    <w:rsid w:val="A7F9C1DE"/>
    <w:rsid w:val="A9AD231D"/>
    <w:rsid w:val="ADFAC79E"/>
    <w:rsid w:val="AE77C0CD"/>
    <w:rsid w:val="AE7E1E17"/>
    <w:rsid w:val="B593FB7D"/>
    <w:rsid w:val="B9B92832"/>
    <w:rsid w:val="BCB7048F"/>
    <w:rsid w:val="BCF89F06"/>
    <w:rsid w:val="BEAF73DD"/>
    <w:rsid w:val="BF8E36EE"/>
    <w:rsid w:val="BFDFB85E"/>
    <w:rsid w:val="BFF739EC"/>
    <w:rsid w:val="C3F5BA26"/>
    <w:rsid w:val="D5DB8D8A"/>
    <w:rsid w:val="DDEFBA43"/>
    <w:rsid w:val="DEAFB90F"/>
    <w:rsid w:val="DF21B821"/>
    <w:rsid w:val="DFD76A11"/>
    <w:rsid w:val="E7FFE685"/>
    <w:rsid w:val="E9F71F09"/>
    <w:rsid w:val="EAFD8D58"/>
    <w:rsid w:val="EB6C770B"/>
    <w:rsid w:val="EBCD181E"/>
    <w:rsid w:val="EFFFDD70"/>
    <w:rsid w:val="F1B778F1"/>
    <w:rsid w:val="F3FF743F"/>
    <w:rsid w:val="F4FF55F7"/>
    <w:rsid w:val="F7EFF966"/>
    <w:rsid w:val="F7FD911C"/>
    <w:rsid w:val="F9DF2CA6"/>
    <w:rsid w:val="FB3326CC"/>
    <w:rsid w:val="FBCE4D19"/>
    <w:rsid w:val="FBFE1D07"/>
    <w:rsid w:val="FDBF10AA"/>
    <w:rsid w:val="FE5FA0A2"/>
    <w:rsid w:val="FEAEC70B"/>
    <w:rsid w:val="FF57FBD6"/>
    <w:rsid w:val="FFB70466"/>
    <w:rsid w:val="FFBC3961"/>
    <w:rsid w:val="FFCF003E"/>
    <w:rsid w:val="FFEE6CF6"/>
    <w:rsid w:val="FFFF3A53"/>
    <w:rsid w:val="FFFF91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qFormat/>
    <w:uiPriority w:val="9"/>
    <w:pPr>
      <w:spacing w:after="156" w:afterLines="50" w:line="640" w:lineRule="exact"/>
      <w:outlineLvl w:val="0"/>
    </w:pPr>
    <w:rPr>
      <w:rFonts w:ascii="方正小标宋简体" w:eastAsia="方正小标宋简体"/>
      <w:sz w:val="44"/>
      <w:szCs w:val="36"/>
    </w:rPr>
  </w:style>
  <w:style w:type="character" w:default="1" w:styleId="14">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99"/>
  </w:style>
  <w:style w:type="paragraph" w:customStyle="1" w:styleId="4">
    <w:name w:val="名称2"/>
    <w:basedOn w:val="5"/>
    <w:qFormat/>
    <w:uiPriority w:val="0"/>
    <w:pPr>
      <w:spacing w:after="312" w:afterLines="100"/>
    </w:pPr>
    <w:rPr>
      <w:b w:val="0"/>
      <w:sz w:val="20"/>
    </w:rPr>
  </w:style>
  <w:style w:type="paragraph" w:customStyle="1" w:styleId="5">
    <w:name w:val="名称"/>
    <w:basedOn w:val="1"/>
    <w:qFormat/>
    <w:uiPriority w:val="0"/>
    <w:pPr>
      <w:jc w:val="center"/>
    </w:pPr>
    <w:rPr>
      <w:b/>
      <w:kern w:val="0"/>
      <w:sz w:val="44"/>
      <w:szCs w:val="20"/>
    </w:rPr>
  </w:style>
  <w:style w:type="paragraph" w:styleId="6">
    <w:name w:val="annotation text"/>
    <w:basedOn w:val="1"/>
    <w:qFormat/>
    <w:uiPriority w:val="0"/>
    <w:pPr>
      <w:jc w:val="left"/>
    </w:pPr>
  </w:style>
  <w:style w:type="paragraph" w:styleId="7">
    <w:name w:val="Body Text"/>
    <w:basedOn w:val="1"/>
    <w:next w:val="8"/>
    <w:link w:val="18"/>
    <w:unhideWhenUsed/>
    <w:qFormat/>
    <w:uiPriority w:val="99"/>
    <w:pPr>
      <w:spacing w:after="120"/>
    </w:pPr>
  </w:style>
  <w:style w:type="paragraph" w:styleId="8">
    <w:name w:val="Body Text First Indent"/>
    <w:basedOn w:val="7"/>
    <w:qFormat/>
    <w:uiPriority w:val="0"/>
    <w:pPr>
      <w:ind w:firstLine="420" w:firstLineChars="100"/>
    </w:pPr>
  </w:style>
  <w:style w:type="paragraph" w:styleId="9">
    <w:name w:val="footer"/>
    <w:basedOn w:val="1"/>
    <w:link w:val="17"/>
    <w:qFormat/>
    <w:uiPriority w:val="0"/>
    <w:pPr>
      <w:tabs>
        <w:tab w:val="center" w:pos="4153"/>
        <w:tab w:val="right" w:pos="8306"/>
      </w:tabs>
      <w:snapToGrid w:val="0"/>
      <w:jc w:val="left"/>
    </w:pPr>
    <w:rPr>
      <w:sz w:val="18"/>
      <w:szCs w:val="18"/>
    </w:rPr>
  </w:style>
  <w:style w:type="paragraph" w:styleId="10">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11">
    <w:name w:val="toc 2"/>
    <w:basedOn w:val="1"/>
    <w:next w:val="1"/>
    <w:qFormat/>
    <w:uiPriority w:val="0"/>
    <w:pPr>
      <w:ind w:left="420" w:leftChars="200"/>
    </w:pPr>
    <w:rPr>
      <w:rFonts w:ascii="Times New Roman" w:hAnsi="Times New Roman" w:eastAsia="宋体"/>
      <w:sz w:val="30"/>
    </w:rPr>
  </w:style>
  <w:style w:type="table" w:styleId="13">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5">
    <w:name w:val="page number"/>
    <w:qFormat/>
    <w:uiPriority w:val="0"/>
    <w:rPr>
      <w:rFonts w:ascii="Times New Roman" w:hAnsi="Times New Roman" w:eastAsia="宋体" w:cs="Simplified Arabic"/>
      <w:sz w:val="24"/>
      <w:szCs w:val="24"/>
      <w:lang w:val="en-GB" w:bidi="ar-AE"/>
    </w:rPr>
  </w:style>
  <w:style w:type="character" w:customStyle="1" w:styleId="16">
    <w:name w:val="页眉 字符"/>
    <w:basedOn w:val="14"/>
    <w:link w:val="10"/>
    <w:qFormat/>
    <w:uiPriority w:val="0"/>
    <w:rPr>
      <w:rFonts w:ascii="Times New Roman" w:hAnsi="Times New Roman" w:eastAsia="宋体" w:cs="Times New Roman"/>
      <w:kern w:val="2"/>
      <w:sz w:val="18"/>
      <w:szCs w:val="18"/>
    </w:rPr>
  </w:style>
  <w:style w:type="character" w:customStyle="1" w:styleId="17">
    <w:name w:val="页脚 字符"/>
    <w:basedOn w:val="14"/>
    <w:link w:val="9"/>
    <w:qFormat/>
    <w:uiPriority w:val="0"/>
    <w:rPr>
      <w:rFonts w:ascii="Times New Roman" w:hAnsi="Times New Roman" w:eastAsia="宋体" w:cs="Times New Roman"/>
      <w:kern w:val="2"/>
      <w:sz w:val="18"/>
      <w:szCs w:val="18"/>
    </w:rPr>
  </w:style>
  <w:style w:type="character" w:customStyle="1" w:styleId="18">
    <w:name w:val="正文文本 字符"/>
    <w:basedOn w:val="14"/>
    <w:link w:val="7"/>
    <w:qFormat/>
    <w:uiPriority w:val="99"/>
    <w:rPr>
      <w:rFonts w:ascii="Times New Roman" w:hAnsi="Times New Roman" w:eastAsia="宋体" w:cs="Times New Roman"/>
      <w:kern w:val="2"/>
      <w:sz w:val="21"/>
      <w:szCs w:val="24"/>
    </w:rPr>
  </w:style>
  <w:style w:type="paragraph" w:styleId="19">
    <w:name w:val="List Paragraph"/>
    <w:basedOn w:val="1"/>
    <w:qFormat/>
    <w:uiPriority w:val="99"/>
    <w:pPr>
      <w:ind w:firstLine="420" w:firstLineChars="200"/>
    </w:pPr>
  </w:style>
  <w:style w:type="paragraph" w:customStyle="1" w:styleId="20">
    <w:name w:val="Footer Right"/>
    <w:basedOn w:val="9"/>
    <w:qFormat/>
    <w:uiPriority w:val="0"/>
    <w:pPr>
      <w:jc w:val="right"/>
    </w:pPr>
  </w:style>
  <w:style w:type="paragraph" w:customStyle="1" w:styleId="21">
    <w:name w:val="KWMCN-标准"/>
    <w:qFormat/>
    <w:uiPriority w:val="0"/>
    <w:pPr>
      <w:adjustRightInd w:val="0"/>
      <w:snapToGrid w:val="0"/>
      <w:spacing w:after="360" w:line="320" w:lineRule="atLeast"/>
      <w:jc w:val="both"/>
    </w:pPr>
    <w:rPr>
      <w:rFonts w:ascii="Arial" w:hAnsi="Arial" w:eastAsia="楷体_GB2312" w:cstheme="minorBidi"/>
      <w:kern w:val="2"/>
      <w:sz w:val="24"/>
      <w:szCs w:val="21"/>
      <w:lang w:val="en-US" w:eastAsia="zh-CN"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其他省直机关单位</Company>
  <Pages>1</Pages>
  <Words>1676</Words>
  <Characters>1808</Characters>
  <Lines>1</Lines>
  <Paragraphs>1</Paragraphs>
  <TotalTime>148</TotalTime>
  <ScaleCrop>false</ScaleCrop>
  <LinksUpToDate>false</LinksUpToDate>
  <CharactersWithSpaces>1931</CharactersWithSpaces>
  <Application>WPS Office_11.8.2.10125_F1E327BC-269C-435d-A152-05C5408002CA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2023-02-26T01:34:00Z</dcterms:created>
  <dc:creator>张斌（反垄断处）</dc:creator>
  <cp:lastModifiedBy>邱伟</cp:lastModifiedBy>
  <cp:lastPrinted>2024-07-31T09:27:00Z</cp:lastPrinted>
  <dcterms:modified xsi:type="dcterms:W3CDTF">2024-11-04T11:44:47Z</dcterms:modified>
  <dc:title>关于经营者集中反垄断审查案件</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2052-11.8.2.10125</vt:lpwstr>
  </property>
  <property fmtid="{D5CDD505-2E9C-101B-9397-08002B2CF9AE}" pid="3" name="ICV">
    <vt:lpwstr>2F510BCF826C43248232D30198221AB7</vt:lpwstr>
  </property>
</Properties>
</file>