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42577A2" w14:textId="77777777" w:rsidR="00FB0828" w:rsidRDefault="00000000">
      <w:pPr>
        <w:jc w:val="center"/>
        <w:rPr>
          <w:sz w:val="36"/>
          <w:szCs w:val="44"/>
        </w:rPr>
      </w:pPr>
      <w:r>
        <w:rPr>
          <w:sz w:val="36"/>
          <w:szCs w:val="44"/>
        </w:rPr>
        <w:t>经营者集中简易案件公示表</w:t>
      </w:r>
    </w:p>
    <w:p w14:paraId="1C6B4224" w14:textId="77777777" w:rsidR="00FB0828" w:rsidRDefault="00FB0828">
      <w:pPr>
        <w:jc w:val="center"/>
        <w:rPr>
          <w:bCs/>
          <w:sz w:val="36"/>
          <w:szCs w:val="44"/>
        </w:rPr>
      </w:pPr>
    </w:p>
    <w:tbl>
      <w:tblPr>
        <w:tblW w:w="9640"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40"/>
        <w:gridCol w:w="1350"/>
        <w:gridCol w:w="6350"/>
      </w:tblGrid>
      <w:tr w:rsidR="00FB0828" w14:paraId="3E2478EA" w14:textId="77777777">
        <w:trPr>
          <w:trHeight w:val="926"/>
        </w:trPr>
        <w:tc>
          <w:tcPr>
            <w:tcW w:w="1940" w:type="dxa"/>
            <w:tcBorders>
              <w:top w:val="single" w:sz="4" w:space="0" w:color="auto"/>
              <w:left w:val="single" w:sz="4" w:space="0" w:color="auto"/>
              <w:bottom w:val="single" w:sz="4" w:space="0" w:color="auto"/>
              <w:right w:val="single" w:sz="4" w:space="0" w:color="auto"/>
            </w:tcBorders>
            <w:shd w:val="clear" w:color="auto" w:fill="D9D9D9"/>
            <w:vAlign w:val="center"/>
          </w:tcPr>
          <w:p w14:paraId="59D53312" w14:textId="77777777" w:rsidR="00FB0828" w:rsidRDefault="00000000">
            <w:pPr>
              <w:rPr>
                <w:b/>
                <w:sz w:val="24"/>
              </w:rPr>
            </w:pPr>
            <w:r>
              <w:rPr>
                <w:b/>
                <w:sz w:val="24"/>
              </w:rPr>
              <w:t>案件名称</w:t>
            </w:r>
          </w:p>
        </w:tc>
        <w:tc>
          <w:tcPr>
            <w:tcW w:w="7700" w:type="dxa"/>
            <w:gridSpan w:val="2"/>
            <w:tcBorders>
              <w:top w:val="single" w:sz="4" w:space="0" w:color="auto"/>
              <w:left w:val="single" w:sz="4" w:space="0" w:color="auto"/>
              <w:bottom w:val="single" w:sz="4" w:space="0" w:color="auto"/>
              <w:right w:val="single" w:sz="4" w:space="0" w:color="auto"/>
            </w:tcBorders>
            <w:vAlign w:val="center"/>
          </w:tcPr>
          <w:p w14:paraId="63152B21" w14:textId="77777777" w:rsidR="00FB0828" w:rsidRDefault="00000000">
            <w:pPr>
              <w:rPr>
                <w:bCs/>
                <w:sz w:val="24"/>
              </w:rPr>
            </w:pPr>
            <w:r>
              <w:rPr>
                <w:sz w:val="24"/>
              </w:rPr>
              <w:t>中国石化销售股份有限公司收购云南中石化华</w:t>
            </w:r>
            <w:proofErr w:type="gramStart"/>
            <w:r>
              <w:rPr>
                <w:sz w:val="24"/>
              </w:rPr>
              <w:t>润发展</w:t>
            </w:r>
            <w:proofErr w:type="gramEnd"/>
            <w:r>
              <w:rPr>
                <w:sz w:val="24"/>
              </w:rPr>
              <w:t>车用能源有限公司股权案</w:t>
            </w:r>
            <w:r>
              <w:rPr>
                <w:sz w:val="24"/>
              </w:rPr>
              <w:t xml:space="preserve"> </w:t>
            </w:r>
          </w:p>
        </w:tc>
      </w:tr>
      <w:tr w:rsidR="00FB0828" w:rsidRPr="00602F6D" w14:paraId="691FD7DC" w14:textId="77777777">
        <w:trPr>
          <w:trHeight w:val="1391"/>
        </w:trPr>
        <w:tc>
          <w:tcPr>
            <w:tcW w:w="1940" w:type="dxa"/>
            <w:tcBorders>
              <w:top w:val="single" w:sz="4" w:space="0" w:color="auto"/>
              <w:left w:val="single" w:sz="4" w:space="0" w:color="auto"/>
              <w:bottom w:val="single" w:sz="4" w:space="0" w:color="auto"/>
              <w:right w:val="single" w:sz="4" w:space="0" w:color="auto"/>
            </w:tcBorders>
            <w:shd w:val="clear" w:color="auto" w:fill="D9D9D9"/>
            <w:vAlign w:val="center"/>
          </w:tcPr>
          <w:p w14:paraId="183F8061" w14:textId="77777777" w:rsidR="00FB0828" w:rsidRDefault="00000000">
            <w:pPr>
              <w:rPr>
                <w:b/>
                <w:sz w:val="24"/>
              </w:rPr>
            </w:pPr>
            <w:r>
              <w:rPr>
                <w:b/>
                <w:sz w:val="24"/>
              </w:rPr>
              <w:t>交易概况（限</w:t>
            </w:r>
            <w:r>
              <w:rPr>
                <w:b/>
                <w:sz w:val="24"/>
              </w:rPr>
              <w:t>200</w:t>
            </w:r>
            <w:r>
              <w:rPr>
                <w:b/>
                <w:sz w:val="24"/>
              </w:rPr>
              <w:t>字内）</w:t>
            </w:r>
          </w:p>
        </w:tc>
        <w:tc>
          <w:tcPr>
            <w:tcW w:w="7700" w:type="dxa"/>
            <w:gridSpan w:val="2"/>
            <w:tcBorders>
              <w:top w:val="single" w:sz="4" w:space="0" w:color="auto"/>
              <w:left w:val="single" w:sz="4" w:space="0" w:color="auto"/>
              <w:bottom w:val="single" w:sz="4" w:space="0" w:color="auto"/>
              <w:right w:val="single" w:sz="4" w:space="0" w:color="auto"/>
            </w:tcBorders>
            <w:vAlign w:val="center"/>
          </w:tcPr>
          <w:p w14:paraId="572CB4C5" w14:textId="15E0EEED" w:rsidR="00FB0828" w:rsidRDefault="00000000">
            <w:pPr>
              <w:rPr>
                <w:sz w:val="24"/>
              </w:rPr>
            </w:pPr>
            <w:r>
              <w:rPr>
                <w:sz w:val="24"/>
              </w:rPr>
              <w:t>中国石化销售股份有限公司（</w:t>
            </w:r>
            <w:r>
              <w:rPr>
                <w:rFonts w:hint="eastAsia"/>
                <w:sz w:val="24"/>
              </w:rPr>
              <w:t>“</w:t>
            </w:r>
            <w:r>
              <w:rPr>
                <w:sz w:val="24"/>
              </w:rPr>
              <w:t>中国石化销售</w:t>
            </w:r>
            <w:r>
              <w:rPr>
                <w:rFonts w:hint="eastAsia"/>
                <w:sz w:val="24"/>
              </w:rPr>
              <w:t>”</w:t>
            </w:r>
            <w:r>
              <w:rPr>
                <w:sz w:val="24"/>
              </w:rPr>
              <w:t>）和华润燃气投资（中国）有限公司（</w:t>
            </w:r>
            <w:r>
              <w:rPr>
                <w:rFonts w:hint="eastAsia"/>
                <w:sz w:val="24"/>
              </w:rPr>
              <w:t>“</w:t>
            </w:r>
            <w:r>
              <w:rPr>
                <w:sz w:val="24"/>
              </w:rPr>
              <w:t>华润燃气</w:t>
            </w:r>
            <w:r>
              <w:rPr>
                <w:rFonts w:hint="eastAsia"/>
                <w:sz w:val="24"/>
              </w:rPr>
              <w:t>”</w:t>
            </w:r>
            <w:r>
              <w:rPr>
                <w:sz w:val="24"/>
              </w:rPr>
              <w:t>）签订交易协议，中国石化销售收购华润燃气持有的云南中石化华润发展车用能源有限公司（</w:t>
            </w:r>
            <w:r>
              <w:rPr>
                <w:rFonts w:hint="eastAsia"/>
                <w:sz w:val="24"/>
              </w:rPr>
              <w:t>“车用能源”</w:t>
            </w:r>
            <w:r>
              <w:rPr>
                <w:sz w:val="24"/>
              </w:rPr>
              <w:t>）</w:t>
            </w:r>
            <w:r>
              <w:rPr>
                <w:sz w:val="24"/>
              </w:rPr>
              <w:t>36%</w:t>
            </w:r>
            <w:r>
              <w:rPr>
                <w:sz w:val="24"/>
              </w:rPr>
              <w:t>的股权。</w:t>
            </w:r>
            <w:r>
              <w:rPr>
                <w:rFonts w:hint="eastAsia"/>
                <w:sz w:val="24"/>
              </w:rPr>
              <w:t>车用能源</w:t>
            </w:r>
            <w:r>
              <w:rPr>
                <w:sz w:val="24"/>
              </w:rPr>
              <w:t>主要从事车用天然气加气站零售业务。交易前，中国石化销售</w:t>
            </w:r>
            <w:r>
              <w:rPr>
                <w:rFonts w:hint="eastAsia"/>
                <w:sz w:val="24"/>
              </w:rPr>
              <w:t>、</w:t>
            </w:r>
            <w:r>
              <w:rPr>
                <w:sz w:val="24"/>
              </w:rPr>
              <w:t>华润燃气和昆明发展投资集团有限公司（</w:t>
            </w:r>
            <w:r>
              <w:rPr>
                <w:rFonts w:hint="eastAsia"/>
                <w:sz w:val="24"/>
              </w:rPr>
              <w:t>“</w:t>
            </w:r>
            <w:r>
              <w:rPr>
                <w:sz w:val="24"/>
              </w:rPr>
              <w:t>昆明发展</w:t>
            </w:r>
            <w:r>
              <w:rPr>
                <w:rFonts w:hint="eastAsia"/>
                <w:sz w:val="24"/>
              </w:rPr>
              <w:t>”</w:t>
            </w:r>
            <w:r>
              <w:rPr>
                <w:sz w:val="24"/>
              </w:rPr>
              <w:t>）</w:t>
            </w:r>
            <w:r>
              <w:rPr>
                <w:rFonts w:hint="eastAsia"/>
                <w:sz w:val="24"/>
              </w:rPr>
              <w:t>分别持有车用能源</w:t>
            </w:r>
            <w:r>
              <w:rPr>
                <w:rFonts w:hint="eastAsia"/>
                <w:sz w:val="24"/>
              </w:rPr>
              <w:t>44%</w:t>
            </w:r>
            <w:r>
              <w:rPr>
                <w:rFonts w:hint="eastAsia"/>
                <w:sz w:val="24"/>
              </w:rPr>
              <w:t>、</w:t>
            </w:r>
            <w:r>
              <w:rPr>
                <w:rFonts w:hint="eastAsia"/>
                <w:sz w:val="24"/>
              </w:rPr>
              <w:t>36%</w:t>
            </w:r>
            <w:r>
              <w:rPr>
                <w:rFonts w:hint="eastAsia"/>
                <w:sz w:val="24"/>
              </w:rPr>
              <w:t>和</w:t>
            </w:r>
            <w:r>
              <w:rPr>
                <w:rFonts w:hint="eastAsia"/>
                <w:sz w:val="24"/>
              </w:rPr>
              <w:t>20%</w:t>
            </w:r>
            <w:r>
              <w:rPr>
                <w:rFonts w:hint="eastAsia"/>
                <w:sz w:val="24"/>
              </w:rPr>
              <w:t>的股份，</w:t>
            </w:r>
            <w:r>
              <w:rPr>
                <w:sz w:val="24"/>
              </w:rPr>
              <w:t>共同</w:t>
            </w:r>
            <w:proofErr w:type="gramStart"/>
            <w:r>
              <w:rPr>
                <w:sz w:val="24"/>
              </w:rPr>
              <w:t>控制</w:t>
            </w:r>
            <w:r>
              <w:rPr>
                <w:rFonts w:hint="eastAsia"/>
                <w:sz w:val="24"/>
              </w:rPr>
              <w:t>车</w:t>
            </w:r>
            <w:proofErr w:type="gramEnd"/>
            <w:r>
              <w:rPr>
                <w:rFonts w:hint="eastAsia"/>
                <w:sz w:val="24"/>
              </w:rPr>
              <w:t>用能源</w:t>
            </w:r>
            <w:r>
              <w:rPr>
                <w:sz w:val="24"/>
              </w:rPr>
              <w:t>。交易后，中国石化销售与昆明发展</w:t>
            </w:r>
            <w:r>
              <w:rPr>
                <w:rFonts w:hint="eastAsia"/>
                <w:sz w:val="24"/>
              </w:rPr>
              <w:t>将分别持有车用能源</w:t>
            </w:r>
            <w:r>
              <w:rPr>
                <w:rFonts w:hint="eastAsia"/>
                <w:sz w:val="24"/>
              </w:rPr>
              <w:t>80%</w:t>
            </w:r>
            <w:r>
              <w:rPr>
                <w:rFonts w:hint="eastAsia"/>
                <w:sz w:val="24"/>
              </w:rPr>
              <w:t>和</w:t>
            </w:r>
            <w:r>
              <w:rPr>
                <w:rFonts w:hint="eastAsia"/>
                <w:sz w:val="24"/>
              </w:rPr>
              <w:t>20%</w:t>
            </w:r>
            <w:r>
              <w:rPr>
                <w:rFonts w:hint="eastAsia"/>
                <w:sz w:val="24"/>
              </w:rPr>
              <w:t>的股份，</w:t>
            </w:r>
            <w:r>
              <w:rPr>
                <w:sz w:val="24"/>
              </w:rPr>
              <w:t>共同</w:t>
            </w:r>
            <w:proofErr w:type="gramStart"/>
            <w:r>
              <w:rPr>
                <w:sz w:val="24"/>
              </w:rPr>
              <w:t>控制</w:t>
            </w:r>
            <w:r>
              <w:rPr>
                <w:rFonts w:hint="eastAsia"/>
                <w:sz w:val="24"/>
              </w:rPr>
              <w:t>车</w:t>
            </w:r>
            <w:proofErr w:type="gramEnd"/>
            <w:r>
              <w:rPr>
                <w:rFonts w:hint="eastAsia"/>
                <w:sz w:val="24"/>
              </w:rPr>
              <w:t>用能源</w:t>
            </w:r>
            <w:r>
              <w:rPr>
                <w:sz w:val="24"/>
              </w:rPr>
              <w:t>。</w:t>
            </w:r>
          </w:p>
        </w:tc>
      </w:tr>
      <w:tr w:rsidR="00FB0828" w14:paraId="710195BE" w14:textId="77777777">
        <w:trPr>
          <w:trHeight w:val="942"/>
        </w:trPr>
        <w:tc>
          <w:tcPr>
            <w:tcW w:w="1940" w:type="dxa"/>
            <w:vMerge w:val="restart"/>
            <w:tcBorders>
              <w:top w:val="nil"/>
              <w:left w:val="single" w:sz="4" w:space="0" w:color="auto"/>
              <w:right w:val="single" w:sz="4" w:space="0" w:color="auto"/>
            </w:tcBorders>
            <w:shd w:val="clear" w:color="auto" w:fill="D9D9D9"/>
            <w:vAlign w:val="center"/>
          </w:tcPr>
          <w:p w14:paraId="05A8FB27" w14:textId="77777777" w:rsidR="00FB0828" w:rsidRDefault="00000000">
            <w:pPr>
              <w:rPr>
                <w:b/>
                <w:sz w:val="24"/>
              </w:rPr>
            </w:pPr>
            <w:r>
              <w:rPr>
                <w:b/>
                <w:sz w:val="24"/>
              </w:rPr>
              <w:t>参与集中的经营者简介（每个限</w:t>
            </w:r>
            <w:r>
              <w:rPr>
                <w:b/>
                <w:sz w:val="24"/>
              </w:rPr>
              <w:t>100</w:t>
            </w:r>
            <w:r>
              <w:rPr>
                <w:b/>
                <w:sz w:val="24"/>
              </w:rPr>
              <w:t>字以内）</w:t>
            </w:r>
          </w:p>
        </w:tc>
        <w:tc>
          <w:tcPr>
            <w:tcW w:w="1350" w:type="dxa"/>
            <w:tcBorders>
              <w:top w:val="single" w:sz="4" w:space="0" w:color="auto"/>
              <w:left w:val="single" w:sz="4" w:space="0" w:color="auto"/>
              <w:bottom w:val="single" w:sz="4" w:space="0" w:color="auto"/>
              <w:right w:val="single" w:sz="4" w:space="0" w:color="auto"/>
            </w:tcBorders>
            <w:vAlign w:val="center"/>
          </w:tcPr>
          <w:p w14:paraId="3EB7ADAE" w14:textId="77777777" w:rsidR="00FB0828" w:rsidRDefault="00000000">
            <w:pPr>
              <w:rPr>
                <w:bCs/>
                <w:sz w:val="24"/>
              </w:rPr>
            </w:pPr>
            <w:r>
              <w:rPr>
                <w:bCs/>
                <w:sz w:val="24"/>
              </w:rPr>
              <w:t>1.</w:t>
            </w:r>
            <w:r>
              <w:rPr>
                <w:bCs/>
                <w:sz w:val="24"/>
              </w:rPr>
              <w:t>中国石化销售</w:t>
            </w:r>
          </w:p>
        </w:tc>
        <w:tc>
          <w:tcPr>
            <w:tcW w:w="6350" w:type="dxa"/>
            <w:tcBorders>
              <w:top w:val="single" w:sz="4" w:space="0" w:color="auto"/>
              <w:left w:val="single" w:sz="4" w:space="0" w:color="auto"/>
              <w:bottom w:val="single" w:sz="4" w:space="0" w:color="auto"/>
              <w:right w:val="single" w:sz="4" w:space="0" w:color="auto"/>
            </w:tcBorders>
            <w:vAlign w:val="center"/>
          </w:tcPr>
          <w:p w14:paraId="278ED3FD" w14:textId="77777777" w:rsidR="00FB0828" w:rsidRDefault="00000000">
            <w:pPr>
              <w:rPr>
                <w:sz w:val="24"/>
              </w:rPr>
            </w:pPr>
            <w:r>
              <w:rPr>
                <w:sz w:val="24"/>
              </w:rPr>
              <w:t>中国石化销售于</w:t>
            </w:r>
            <w:r>
              <w:rPr>
                <w:sz w:val="24"/>
              </w:rPr>
              <w:t>1985</w:t>
            </w:r>
            <w:r>
              <w:rPr>
                <w:sz w:val="24"/>
              </w:rPr>
              <w:t>年</w:t>
            </w:r>
            <w:r>
              <w:rPr>
                <w:sz w:val="24"/>
              </w:rPr>
              <w:t>3</w:t>
            </w:r>
            <w:r>
              <w:rPr>
                <w:sz w:val="24"/>
              </w:rPr>
              <w:t>月</w:t>
            </w:r>
            <w:r>
              <w:rPr>
                <w:sz w:val="24"/>
              </w:rPr>
              <w:t>15</w:t>
            </w:r>
            <w:r>
              <w:rPr>
                <w:sz w:val="24"/>
              </w:rPr>
              <w:t>日成立于北京市，主要业务为成品油及燃料油等其它石化产品零售。</w:t>
            </w:r>
          </w:p>
          <w:p w14:paraId="2D675A57" w14:textId="77777777" w:rsidR="00FB0828" w:rsidRDefault="00000000">
            <w:pPr>
              <w:rPr>
                <w:sz w:val="24"/>
              </w:rPr>
            </w:pPr>
            <w:r>
              <w:rPr>
                <w:sz w:val="24"/>
              </w:rPr>
              <w:t>中石化销售最终控制人为中国石油化工集团有限公司</w:t>
            </w:r>
            <w:r>
              <w:rPr>
                <w:rFonts w:hint="eastAsia"/>
                <w:sz w:val="24"/>
              </w:rPr>
              <w:t>（“中国石化”）</w:t>
            </w:r>
            <w:r>
              <w:rPr>
                <w:sz w:val="24"/>
              </w:rPr>
              <w:t>，主要业务为石油与天然气勘探开发、管道运输、销售等。</w:t>
            </w:r>
          </w:p>
        </w:tc>
      </w:tr>
      <w:tr w:rsidR="00FB0828" w14:paraId="5DB75428" w14:textId="77777777">
        <w:trPr>
          <w:trHeight w:val="942"/>
        </w:trPr>
        <w:tc>
          <w:tcPr>
            <w:tcW w:w="1940" w:type="dxa"/>
            <w:vMerge/>
            <w:tcBorders>
              <w:left w:val="single" w:sz="4" w:space="0" w:color="auto"/>
              <w:right w:val="single" w:sz="4" w:space="0" w:color="auto"/>
            </w:tcBorders>
            <w:shd w:val="clear" w:color="auto" w:fill="D9D9D9"/>
            <w:vAlign w:val="center"/>
          </w:tcPr>
          <w:p w14:paraId="1D2ADE22" w14:textId="77777777" w:rsidR="00FB0828" w:rsidRDefault="00FB0828">
            <w:pPr>
              <w:rPr>
                <w:b/>
                <w:sz w:val="24"/>
              </w:rPr>
            </w:pPr>
          </w:p>
        </w:tc>
        <w:tc>
          <w:tcPr>
            <w:tcW w:w="1350" w:type="dxa"/>
            <w:tcBorders>
              <w:top w:val="single" w:sz="4" w:space="0" w:color="auto"/>
              <w:left w:val="single" w:sz="4" w:space="0" w:color="auto"/>
              <w:bottom w:val="single" w:sz="4" w:space="0" w:color="auto"/>
              <w:right w:val="single" w:sz="4" w:space="0" w:color="auto"/>
            </w:tcBorders>
            <w:shd w:val="clear" w:color="auto" w:fill="auto"/>
            <w:vAlign w:val="center"/>
          </w:tcPr>
          <w:p w14:paraId="4702A2F4" w14:textId="713AA87A" w:rsidR="00FB0828" w:rsidRDefault="00000000">
            <w:pPr>
              <w:rPr>
                <w:bCs/>
                <w:sz w:val="24"/>
              </w:rPr>
            </w:pPr>
            <w:r>
              <w:rPr>
                <w:rFonts w:hint="eastAsia"/>
                <w:bCs/>
                <w:sz w:val="24"/>
              </w:rPr>
              <w:t>2</w:t>
            </w:r>
            <w:r>
              <w:rPr>
                <w:bCs/>
                <w:sz w:val="24"/>
              </w:rPr>
              <w:t>.</w:t>
            </w:r>
            <w:r>
              <w:rPr>
                <w:bCs/>
                <w:sz w:val="24"/>
              </w:rPr>
              <w:t>昆明发展</w:t>
            </w:r>
          </w:p>
        </w:tc>
        <w:tc>
          <w:tcPr>
            <w:tcW w:w="6350" w:type="dxa"/>
            <w:tcBorders>
              <w:top w:val="single" w:sz="4" w:space="0" w:color="auto"/>
              <w:left w:val="single" w:sz="4" w:space="0" w:color="auto"/>
              <w:bottom w:val="single" w:sz="4" w:space="0" w:color="auto"/>
              <w:right w:val="single" w:sz="4" w:space="0" w:color="auto"/>
            </w:tcBorders>
            <w:shd w:val="clear" w:color="auto" w:fill="auto"/>
            <w:vAlign w:val="center"/>
          </w:tcPr>
          <w:p w14:paraId="33421423" w14:textId="77777777" w:rsidR="00FB0828" w:rsidRDefault="00000000">
            <w:pPr>
              <w:rPr>
                <w:bCs/>
                <w:sz w:val="24"/>
              </w:rPr>
            </w:pPr>
            <w:r>
              <w:rPr>
                <w:bCs/>
                <w:sz w:val="24"/>
              </w:rPr>
              <w:t>昆明发展于</w:t>
            </w:r>
            <w:r>
              <w:rPr>
                <w:bCs/>
                <w:sz w:val="24"/>
              </w:rPr>
              <w:t>2010</w:t>
            </w:r>
            <w:r>
              <w:rPr>
                <w:bCs/>
                <w:sz w:val="24"/>
              </w:rPr>
              <w:t>年</w:t>
            </w:r>
            <w:r>
              <w:rPr>
                <w:bCs/>
                <w:sz w:val="24"/>
              </w:rPr>
              <w:t>1</w:t>
            </w:r>
            <w:r>
              <w:rPr>
                <w:bCs/>
                <w:sz w:val="24"/>
              </w:rPr>
              <w:t>月</w:t>
            </w:r>
            <w:r>
              <w:rPr>
                <w:bCs/>
                <w:sz w:val="24"/>
              </w:rPr>
              <w:t>27</w:t>
            </w:r>
            <w:r>
              <w:rPr>
                <w:bCs/>
                <w:sz w:val="24"/>
              </w:rPr>
              <w:t>日成立于云南省昆明市，主要业务为新能源产业、大健康及旅游产业、城镇建设产业的重大基础设施建设、商业地产建设运营、棚户区改造、股权投资等。</w:t>
            </w:r>
          </w:p>
          <w:p w14:paraId="5306D78E" w14:textId="77777777" w:rsidR="00FB0828" w:rsidRDefault="00000000">
            <w:pPr>
              <w:rPr>
                <w:bCs/>
                <w:sz w:val="24"/>
              </w:rPr>
            </w:pPr>
            <w:r>
              <w:rPr>
                <w:bCs/>
                <w:sz w:val="24"/>
              </w:rPr>
              <w:t>昆明发展</w:t>
            </w:r>
            <w:r>
              <w:rPr>
                <w:rFonts w:hint="eastAsia"/>
                <w:bCs/>
                <w:sz w:val="24"/>
              </w:rPr>
              <w:t>是昆明市国资委下属企业</w:t>
            </w:r>
            <w:r>
              <w:rPr>
                <w:bCs/>
                <w:sz w:val="24"/>
              </w:rPr>
              <w:t>。</w:t>
            </w:r>
          </w:p>
        </w:tc>
      </w:tr>
      <w:tr w:rsidR="00FB0828" w14:paraId="4CA8132B" w14:textId="77777777">
        <w:trPr>
          <w:trHeight w:val="1245"/>
        </w:trPr>
        <w:tc>
          <w:tcPr>
            <w:tcW w:w="1940" w:type="dxa"/>
            <w:vMerge/>
            <w:tcBorders>
              <w:left w:val="single" w:sz="4" w:space="0" w:color="auto"/>
              <w:right w:val="single" w:sz="4" w:space="0" w:color="auto"/>
            </w:tcBorders>
            <w:vAlign w:val="center"/>
          </w:tcPr>
          <w:p w14:paraId="52A9F3DD" w14:textId="77777777" w:rsidR="00FB0828" w:rsidRDefault="00FB0828">
            <w:pPr>
              <w:rPr>
                <w:b/>
                <w:sz w:val="24"/>
              </w:rPr>
            </w:pPr>
          </w:p>
        </w:tc>
        <w:tc>
          <w:tcPr>
            <w:tcW w:w="1350" w:type="dxa"/>
            <w:tcBorders>
              <w:top w:val="single" w:sz="4" w:space="0" w:color="auto"/>
              <w:left w:val="single" w:sz="4" w:space="0" w:color="auto"/>
              <w:bottom w:val="single" w:sz="4" w:space="0" w:color="auto"/>
              <w:right w:val="single" w:sz="4" w:space="0" w:color="auto"/>
            </w:tcBorders>
            <w:vAlign w:val="center"/>
          </w:tcPr>
          <w:p w14:paraId="2E8FB4F2" w14:textId="725E3ADE" w:rsidR="00FB0828" w:rsidRDefault="00000000">
            <w:pPr>
              <w:rPr>
                <w:bCs/>
                <w:sz w:val="24"/>
              </w:rPr>
            </w:pPr>
            <w:r>
              <w:rPr>
                <w:rFonts w:hint="eastAsia"/>
                <w:bCs/>
                <w:sz w:val="24"/>
              </w:rPr>
              <w:t>3</w:t>
            </w:r>
            <w:r>
              <w:rPr>
                <w:bCs/>
                <w:sz w:val="24"/>
              </w:rPr>
              <w:t>.</w:t>
            </w:r>
            <w:r>
              <w:rPr>
                <w:rFonts w:hint="eastAsia"/>
                <w:sz w:val="24"/>
              </w:rPr>
              <w:t>车用能源</w:t>
            </w:r>
          </w:p>
        </w:tc>
        <w:tc>
          <w:tcPr>
            <w:tcW w:w="6350" w:type="dxa"/>
            <w:tcBorders>
              <w:top w:val="single" w:sz="4" w:space="0" w:color="auto"/>
              <w:left w:val="single" w:sz="4" w:space="0" w:color="auto"/>
              <w:bottom w:val="single" w:sz="4" w:space="0" w:color="auto"/>
              <w:right w:val="single" w:sz="4" w:space="0" w:color="auto"/>
            </w:tcBorders>
            <w:vAlign w:val="center"/>
          </w:tcPr>
          <w:p w14:paraId="5A1D77A3" w14:textId="77777777" w:rsidR="00FB0828" w:rsidRDefault="00000000">
            <w:pPr>
              <w:rPr>
                <w:sz w:val="24"/>
              </w:rPr>
            </w:pPr>
            <w:r>
              <w:rPr>
                <w:rFonts w:hint="eastAsia"/>
                <w:sz w:val="24"/>
              </w:rPr>
              <w:t>车用能源</w:t>
            </w:r>
            <w:r>
              <w:rPr>
                <w:bCs/>
                <w:sz w:val="24"/>
              </w:rPr>
              <w:t>于</w:t>
            </w:r>
            <w:r>
              <w:rPr>
                <w:bCs/>
                <w:sz w:val="24"/>
              </w:rPr>
              <w:t>2011</w:t>
            </w:r>
            <w:r>
              <w:rPr>
                <w:bCs/>
                <w:sz w:val="24"/>
              </w:rPr>
              <w:t>年</w:t>
            </w:r>
            <w:r>
              <w:rPr>
                <w:bCs/>
                <w:sz w:val="24"/>
              </w:rPr>
              <w:t>10</w:t>
            </w:r>
            <w:r>
              <w:rPr>
                <w:bCs/>
                <w:sz w:val="24"/>
              </w:rPr>
              <w:t>月</w:t>
            </w:r>
            <w:r>
              <w:rPr>
                <w:bCs/>
                <w:sz w:val="24"/>
              </w:rPr>
              <w:t>21</w:t>
            </w:r>
            <w:r>
              <w:rPr>
                <w:bCs/>
                <w:sz w:val="24"/>
              </w:rPr>
              <w:t>日成立于云南省昆明市，主要业务为</w:t>
            </w:r>
            <w:r>
              <w:rPr>
                <w:sz w:val="24"/>
              </w:rPr>
              <w:t>车用天然气加气站零售。</w:t>
            </w:r>
          </w:p>
          <w:p w14:paraId="37838C3F" w14:textId="4EC5DEE7" w:rsidR="00FB0828" w:rsidRDefault="00000000">
            <w:pPr>
              <w:rPr>
                <w:bCs/>
                <w:sz w:val="24"/>
              </w:rPr>
            </w:pPr>
            <w:r>
              <w:rPr>
                <w:rFonts w:hint="eastAsia"/>
                <w:sz w:val="24"/>
              </w:rPr>
              <w:t>车用能源</w:t>
            </w:r>
            <w:r>
              <w:rPr>
                <w:sz w:val="24"/>
              </w:rPr>
              <w:t>最终控制人</w:t>
            </w:r>
            <w:r>
              <w:rPr>
                <w:rFonts w:hint="eastAsia"/>
                <w:sz w:val="24"/>
              </w:rPr>
              <w:t>为中国石化、中国华润有限公司（“华润”）和昆明发展。中国石化和昆明发展主要业务如上，华润主要业务涉及能源等领域。</w:t>
            </w:r>
          </w:p>
        </w:tc>
      </w:tr>
      <w:tr w:rsidR="00FB0828" w14:paraId="27B373BC" w14:textId="77777777">
        <w:trPr>
          <w:trHeight w:val="279"/>
        </w:trPr>
        <w:tc>
          <w:tcPr>
            <w:tcW w:w="1940" w:type="dxa"/>
            <w:vMerge w:val="restart"/>
            <w:tcBorders>
              <w:top w:val="nil"/>
              <w:left w:val="single" w:sz="4" w:space="0" w:color="auto"/>
              <w:bottom w:val="single" w:sz="4" w:space="0" w:color="auto"/>
              <w:right w:val="single" w:sz="4" w:space="0" w:color="auto"/>
            </w:tcBorders>
            <w:shd w:val="clear" w:color="auto" w:fill="D9D9D9"/>
            <w:vAlign w:val="center"/>
          </w:tcPr>
          <w:p w14:paraId="0DA2309F" w14:textId="77777777" w:rsidR="00FB0828" w:rsidRDefault="00000000">
            <w:pPr>
              <w:rPr>
                <w:b/>
                <w:sz w:val="24"/>
              </w:rPr>
            </w:pPr>
            <w:r>
              <w:rPr>
                <w:b/>
                <w:sz w:val="24"/>
              </w:rPr>
              <w:t>简易案件理由（可以单选，也可以多选）</w:t>
            </w:r>
          </w:p>
        </w:tc>
        <w:tc>
          <w:tcPr>
            <w:tcW w:w="7700" w:type="dxa"/>
            <w:gridSpan w:val="2"/>
            <w:tcBorders>
              <w:top w:val="single" w:sz="4" w:space="0" w:color="auto"/>
              <w:left w:val="single" w:sz="4" w:space="0" w:color="auto"/>
              <w:bottom w:val="single" w:sz="4" w:space="0" w:color="auto"/>
              <w:right w:val="single" w:sz="4" w:space="0" w:color="auto"/>
            </w:tcBorders>
            <w:vAlign w:val="center"/>
          </w:tcPr>
          <w:p w14:paraId="22300819" w14:textId="77777777" w:rsidR="00FB0828" w:rsidRDefault="00000000">
            <w:pPr>
              <w:rPr>
                <w:bCs/>
                <w:sz w:val="24"/>
              </w:rPr>
            </w:pPr>
            <w:r>
              <w:rPr>
                <w:sz w:val="22"/>
                <w:szCs w:val="22"/>
              </w:rPr>
              <w:sym w:font="Wingdings" w:char="F0A8"/>
            </w:r>
            <w:r>
              <w:rPr>
                <w:sz w:val="22"/>
                <w:szCs w:val="22"/>
              </w:rPr>
              <w:t xml:space="preserve"> </w:t>
            </w:r>
            <w:r>
              <w:rPr>
                <w:bCs/>
                <w:sz w:val="24"/>
              </w:rPr>
              <w:t>1.</w:t>
            </w:r>
            <w:r>
              <w:rPr>
                <w:bCs/>
                <w:sz w:val="24"/>
              </w:rPr>
              <w:t>在同一相关市场，参与集中的经营者所占的市场份额之和小于</w:t>
            </w:r>
            <w:r>
              <w:rPr>
                <w:bCs/>
                <w:sz w:val="24"/>
              </w:rPr>
              <w:t>15%</w:t>
            </w:r>
            <w:r>
              <w:rPr>
                <w:bCs/>
                <w:sz w:val="24"/>
              </w:rPr>
              <w:t>。</w:t>
            </w:r>
          </w:p>
        </w:tc>
      </w:tr>
      <w:tr w:rsidR="00FB0828" w14:paraId="6773FC85" w14:textId="77777777">
        <w:trPr>
          <w:trHeight w:val="330"/>
        </w:trPr>
        <w:tc>
          <w:tcPr>
            <w:tcW w:w="1940" w:type="dxa"/>
            <w:vMerge/>
            <w:tcBorders>
              <w:top w:val="nil"/>
              <w:left w:val="single" w:sz="4" w:space="0" w:color="auto"/>
              <w:bottom w:val="single" w:sz="4" w:space="0" w:color="auto"/>
              <w:right w:val="single" w:sz="4" w:space="0" w:color="auto"/>
            </w:tcBorders>
            <w:vAlign w:val="center"/>
          </w:tcPr>
          <w:p w14:paraId="2A6BC62B" w14:textId="77777777" w:rsidR="00FB0828" w:rsidRDefault="00FB0828">
            <w:pPr>
              <w:rPr>
                <w:b/>
                <w:sz w:val="24"/>
              </w:rPr>
            </w:pPr>
          </w:p>
        </w:tc>
        <w:tc>
          <w:tcPr>
            <w:tcW w:w="7700" w:type="dxa"/>
            <w:gridSpan w:val="2"/>
            <w:tcBorders>
              <w:top w:val="single" w:sz="4" w:space="0" w:color="auto"/>
              <w:left w:val="single" w:sz="4" w:space="0" w:color="auto"/>
              <w:bottom w:val="single" w:sz="4" w:space="0" w:color="auto"/>
              <w:right w:val="single" w:sz="4" w:space="0" w:color="auto"/>
            </w:tcBorders>
            <w:vAlign w:val="center"/>
          </w:tcPr>
          <w:p w14:paraId="039E356B" w14:textId="77777777" w:rsidR="00FB0828" w:rsidRDefault="00000000">
            <w:pPr>
              <w:rPr>
                <w:bCs/>
                <w:sz w:val="24"/>
              </w:rPr>
            </w:pPr>
            <w:r>
              <w:rPr>
                <w:sz w:val="22"/>
                <w:szCs w:val="22"/>
              </w:rPr>
              <w:sym w:font="Wingdings" w:char="F0A8"/>
            </w:r>
            <w:r>
              <w:rPr>
                <w:sz w:val="22"/>
                <w:szCs w:val="22"/>
              </w:rPr>
              <w:t xml:space="preserve"> </w:t>
            </w:r>
            <w:r>
              <w:rPr>
                <w:bCs/>
                <w:sz w:val="24"/>
              </w:rPr>
              <w:t>2.</w:t>
            </w:r>
            <w:r>
              <w:rPr>
                <w:bCs/>
                <w:sz w:val="24"/>
              </w:rPr>
              <w:t>在上下游市场，参与集中的经营者所占的市场份额均小于</w:t>
            </w:r>
            <w:r>
              <w:rPr>
                <w:bCs/>
                <w:sz w:val="24"/>
              </w:rPr>
              <w:t>25%</w:t>
            </w:r>
            <w:r>
              <w:rPr>
                <w:bCs/>
                <w:sz w:val="24"/>
              </w:rPr>
              <w:t>。</w:t>
            </w:r>
          </w:p>
        </w:tc>
      </w:tr>
      <w:tr w:rsidR="00FB0828" w14:paraId="5172441B" w14:textId="77777777">
        <w:trPr>
          <w:trHeight w:val="285"/>
        </w:trPr>
        <w:tc>
          <w:tcPr>
            <w:tcW w:w="1940" w:type="dxa"/>
            <w:vMerge/>
            <w:tcBorders>
              <w:top w:val="nil"/>
              <w:left w:val="single" w:sz="4" w:space="0" w:color="auto"/>
              <w:bottom w:val="single" w:sz="4" w:space="0" w:color="auto"/>
              <w:right w:val="single" w:sz="4" w:space="0" w:color="auto"/>
            </w:tcBorders>
            <w:vAlign w:val="center"/>
          </w:tcPr>
          <w:p w14:paraId="67AB726D" w14:textId="77777777" w:rsidR="00FB0828" w:rsidRDefault="00FB0828">
            <w:pPr>
              <w:rPr>
                <w:b/>
                <w:sz w:val="24"/>
              </w:rPr>
            </w:pPr>
          </w:p>
        </w:tc>
        <w:tc>
          <w:tcPr>
            <w:tcW w:w="7700" w:type="dxa"/>
            <w:gridSpan w:val="2"/>
            <w:tcBorders>
              <w:top w:val="single" w:sz="4" w:space="0" w:color="auto"/>
              <w:left w:val="single" w:sz="4" w:space="0" w:color="auto"/>
              <w:bottom w:val="single" w:sz="4" w:space="0" w:color="auto"/>
              <w:right w:val="single" w:sz="4" w:space="0" w:color="auto"/>
            </w:tcBorders>
            <w:vAlign w:val="center"/>
          </w:tcPr>
          <w:p w14:paraId="37519FF5" w14:textId="77777777" w:rsidR="00FB0828" w:rsidRDefault="00000000">
            <w:pPr>
              <w:rPr>
                <w:bCs/>
                <w:sz w:val="24"/>
              </w:rPr>
            </w:pPr>
            <w:r>
              <w:rPr>
                <w:sz w:val="22"/>
                <w:szCs w:val="22"/>
              </w:rPr>
              <w:sym w:font="Wingdings" w:char="F0A8"/>
            </w:r>
            <w:r>
              <w:rPr>
                <w:sz w:val="22"/>
                <w:szCs w:val="22"/>
              </w:rPr>
              <w:t xml:space="preserve"> </w:t>
            </w:r>
            <w:r>
              <w:rPr>
                <w:bCs/>
                <w:sz w:val="24"/>
              </w:rPr>
              <w:t>3.</w:t>
            </w:r>
            <w:r>
              <w:rPr>
                <w:bCs/>
                <w:sz w:val="24"/>
              </w:rPr>
              <w:t>不在同一相关市场也不存在上下游关系的参与集中的经营者，在与交易有关的每个市场所占的市场份额均小于</w:t>
            </w:r>
            <w:r>
              <w:rPr>
                <w:bCs/>
                <w:sz w:val="24"/>
              </w:rPr>
              <w:t>25%</w:t>
            </w:r>
            <w:r>
              <w:rPr>
                <w:bCs/>
                <w:sz w:val="24"/>
              </w:rPr>
              <w:t>。</w:t>
            </w:r>
          </w:p>
        </w:tc>
      </w:tr>
      <w:tr w:rsidR="00FB0828" w14:paraId="4557D43D" w14:textId="77777777">
        <w:trPr>
          <w:trHeight w:val="442"/>
        </w:trPr>
        <w:tc>
          <w:tcPr>
            <w:tcW w:w="1940" w:type="dxa"/>
            <w:vMerge/>
            <w:tcBorders>
              <w:top w:val="nil"/>
              <w:left w:val="single" w:sz="4" w:space="0" w:color="auto"/>
              <w:bottom w:val="single" w:sz="4" w:space="0" w:color="auto"/>
              <w:right w:val="single" w:sz="4" w:space="0" w:color="auto"/>
            </w:tcBorders>
            <w:vAlign w:val="center"/>
          </w:tcPr>
          <w:p w14:paraId="27ABB24D" w14:textId="77777777" w:rsidR="00FB0828" w:rsidRDefault="00FB0828">
            <w:pPr>
              <w:rPr>
                <w:b/>
                <w:sz w:val="24"/>
              </w:rPr>
            </w:pPr>
          </w:p>
        </w:tc>
        <w:tc>
          <w:tcPr>
            <w:tcW w:w="7700" w:type="dxa"/>
            <w:gridSpan w:val="2"/>
            <w:tcBorders>
              <w:top w:val="single" w:sz="4" w:space="0" w:color="auto"/>
              <w:left w:val="single" w:sz="4" w:space="0" w:color="auto"/>
              <w:bottom w:val="single" w:sz="4" w:space="0" w:color="auto"/>
              <w:right w:val="single" w:sz="4" w:space="0" w:color="auto"/>
            </w:tcBorders>
            <w:vAlign w:val="center"/>
          </w:tcPr>
          <w:p w14:paraId="00E3FC6F" w14:textId="77777777" w:rsidR="00FB0828" w:rsidRDefault="00000000">
            <w:pPr>
              <w:rPr>
                <w:bCs/>
                <w:sz w:val="24"/>
              </w:rPr>
            </w:pPr>
            <w:r>
              <w:rPr>
                <w:sz w:val="22"/>
                <w:szCs w:val="22"/>
              </w:rPr>
              <w:sym w:font="Wingdings" w:char="F0A8"/>
            </w:r>
            <w:r>
              <w:rPr>
                <w:sz w:val="22"/>
                <w:szCs w:val="22"/>
              </w:rPr>
              <w:t xml:space="preserve"> </w:t>
            </w:r>
            <w:r>
              <w:rPr>
                <w:bCs/>
                <w:sz w:val="24"/>
              </w:rPr>
              <w:t>4.</w:t>
            </w:r>
            <w:r>
              <w:rPr>
                <w:bCs/>
                <w:sz w:val="24"/>
              </w:rPr>
              <w:t>参与集中的经营者在中国境外设立合营企业，合营企业不在中国境内从事经济活动。</w:t>
            </w:r>
          </w:p>
        </w:tc>
      </w:tr>
      <w:tr w:rsidR="00FB0828" w14:paraId="3E06E41E" w14:textId="77777777">
        <w:trPr>
          <w:trHeight w:val="264"/>
        </w:trPr>
        <w:tc>
          <w:tcPr>
            <w:tcW w:w="1940" w:type="dxa"/>
            <w:vMerge/>
            <w:tcBorders>
              <w:top w:val="nil"/>
              <w:left w:val="single" w:sz="4" w:space="0" w:color="auto"/>
              <w:bottom w:val="single" w:sz="4" w:space="0" w:color="auto"/>
              <w:right w:val="single" w:sz="4" w:space="0" w:color="auto"/>
            </w:tcBorders>
            <w:vAlign w:val="center"/>
          </w:tcPr>
          <w:p w14:paraId="5575FE8D" w14:textId="77777777" w:rsidR="00FB0828" w:rsidRDefault="00FB0828">
            <w:pPr>
              <w:rPr>
                <w:b/>
                <w:sz w:val="24"/>
              </w:rPr>
            </w:pPr>
          </w:p>
        </w:tc>
        <w:tc>
          <w:tcPr>
            <w:tcW w:w="7700" w:type="dxa"/>
            <w:gridSpan w:val="2"/>
            <w:tcBorders>
              <w:top w:val="single" w:sz="4" w:space="0" w:color="auto"/>
              <w:left w:val="single" w:sz="4" w:space="0" w:color="auto"/>
              <w:bottom w:val="single" w:sz="4" w:space="0" w:color="auto"/>
              <w:right w:val="single" w:sz="4" w:space="0" w:color="auto"/>
            </w:tcBorders>
            <w:vAlign w:val="center"/>
          </w:tcPr>
          <w:p w14:paraId="2AB35D16" w14:textId="77777777" w:rsidR="00FB0828" w:rsidRDefault="00000000">
            <w:pPr>
              <w:rPr>
                <w:bCs/>
                <w:sz w:val="24"/>
              </w:rPr>
            </w:pPr>
            <w:r>
              <w:rPr>
                <w:sz w:val="22"/>
                <w:szCs w:val="22"/>
              </w:rPr>
              <w:sym w:font="Wingdings" w:char="F0A8"/>
            </w:r>
            <w:r>
              <w:rPr>
                <w:sz w:val="22"/>
                <w:szCs w:val="22"/>
              </w:rPr>
              <w:t xml:space="preserve"> </w:t>
            </w:r>
            <w:r>
              <w:rPr>
                <w:bCs/>
                <w:sz w:val="24"/>
              </w:rPr>
              <w:t>5.</w:t>
            </w:r>
            <w:r>
              <w:rPr>
                <w:bCs/>
                <w:sz w:val="24"/>
              </w:rPr>
              <w:t>参与集中的经营者收购境外企业股权或资产的，该境外企业不在中国境内从事经济活动。</w:t>
            </w:r>
          </w:p>
        </w:tc>
      </w:tr>
      <w:tr w:rsidR="00FB0828" w14:paraId="74D480C3" w14:textId="77777777">
        <w:trPr>
          <w:trHeight w:val="345"/>
        </w:trPr>
        <w:tc>
          <w:tcPr>
            <w:tcW w:w="1940" w:type="dxa"/>
            <w:vMerge/>
            <w:tcBorders>
              <w:top w:val="nil"/>
              <w:left w:val="single" w:sz="4" w:space="0" w:color="auto"/>
              <w:bottom w:val="single" w:sz="4" w:space="0" w:color="auto"/>
              <w:right w:val="single" w:sz="4" w:space="0" w:color="auto"/>
            </w:tcBorders>
            <w:vAlign w:val="center"/>
          </w:tcPr>
          <w:p w14:paraId="296A258C" w14:textId="77777777" w:rsidR="00FB0828" w:rsidRDefault="00FB0828">
            <w:pPr>
              <w:rPr>
                <w:b/>
                <w:sz w:val="24"/>
              </w:rPr>
            </w:pPr>
          </w:p>
        </w:tc>
        <w:tc>
          <w:tcPr>
            <w:tcW w:w="7700" w:type="dxa"/>
            <w:gridSpan w:val="2"/>
            <w:tcBorders>
              <w:top w:val="single" w:sz="4" w:space="0" w:color="auto"/>
              <w:left w:val="single" w:sz="4" w:space="0" w:color="auto"/>
              <w:bottom w:val="single" w:sz="4" w:space="0" w:color="auto"/>
              <w:right w:val="single" w:sz="4" w:space="0" w:color="auto"/>
            </w:tcBorders>
            <w:vAlign w:val="center"/>
          </w:tcPr>
          <w:p w14:paraId="682F2CBF" w14:textId="77777777" w:rsidR="00FB0828" w:rsidRDefault="00000000">
            <w:pPr>
              <w:rPr>
                <w:bCs/>
                <w:sz w:val="24"/>
              </w:rPr>
            </w:pPr>
            <w:r>
              <w:rPr>
                <w:sz w:val="22"/>
                <w:szCs w:val="22"/>
              </w:rPr>
              <w:sym w:font="Wingdings" w:char="00FE"/>
            </w:r>
            <w:r>
              <w:rPr>
                <w:sz w:val="22"/>
                <w:szCs w:val="22"/>
              </w:rPr>
              <w:t xml:space="preserve"> </w:t>
            </w:r>
            <w:r>
              <w:rPr>
                <w:bCs/>
                <w:sz w:val="24"/>
              </w:rPr>
              <w:t>6.</w:t>
            </w:r>
            <w:r>
              <w:rPr>
                <w:bCs/>
                <w:sz w:val="24"/>
              </w:rPr>
              <w:t>由两个以上的经营者共同控制的合营企业，通过集中被其中一个或一个以上经营者控制。</w:t>
            </w:r>
          </w:p>
        </w:tc>
      </w:tr>
      <w:tr w:rsidR="00FB0828" w14:paraId="7C3F2136" w14:textId="77777777">
        <w:trPr>
          <w:trHeight w:val="274"/>
        </w:trPr>
        <w:tc>
          <w:tcPr>
            <w:tcW w:w="1940" w:type="dxa"/>
            <w:tcBorders>
              <w:top w:val="single" w:sz="4" w:space="0" w:color="auto"/>
              <w:left w:val="single" w:sz="4" w:space="0" w:color="auto"/>
              <w:bottom w:val="single" w:sz="4" w:space="0" w:color="auto"/>
              <w:right w:val="single" w:sz="4" w:space="0" w:color="auto"/>
            </w:tcBorders>
            <w:shd w:val="clear" w:color="auto" w:fill="D9D9D9"/>
            <w:vAlign w:val="center"/>
          </w:tcPr>
          <w:p w14:paraId="175CAFD4" w14:textId="77777777" w:rsidR="00FB0828" w:rsidRDefault="00000000">
            <w:pPr>
              <w:rPr>
                <w:b/>
                <w:sz w:val="24"/>
              </w:rPr>
            </w:pPr>
            <w:r>
              <w:rPr>
                <w:b/>
                <w:sz w:val="24"/>
              </w:rPr>
              <w:t>备注</w:t>
            </w:r>
          </w:p>
        </w:tc>
        <w:tc>
          <w:tcPr>
            <w:tcW w:w="7700" w:type="dxa"/>
            <w:gridSpan w:val="2"/>
            <w:tcBorders>
              <w:top w:val="single" w:sz="4" w:space="0" w:color="auto"/>
              <w:left w:val="single" w:sz="4" w:space="0" w:color="auto"/>
              <w:bottom w:val="single" w:sz="4" w:space="0" w:color="auto"/>
              <w:right w:val="single" w:sz="4" w:space="0" w:color="auto"/>
            </w:tcBorders>
            <w:vAlign w:val="center"/>
          </w:tcPr>
          <w:p w14:paraId="59D21C93" w14:textId="77777777" w:rsidR="00FB0828" w:rsidRDefault="00000000">
            <w:pPr>
              <w:rPr>
                <w:b/>
                <w:sz w:val="24"/>
              </w:rPr>
            </w:pPr>
            <w:r>
              <w:rPr>
                <w:rFonts w:hint="eastAsia"/>
                <w:b/>
                <w:sz w:val="24"/>
              </w:rPr>
              <w:t>纵向关联</w:t>
            </w:r>
            <w:r>
              <w:rPr>
                <w:b/>
                <w:sz w:val="24"/>
              </w:rPr>
              <w:t>：</w:t>
            </w:r>
          </w:p>
          <w:tbl>
            <w:tblPr>
              <w:tblStyle w:val="af"/>
              <w:tblW w:w="7484" w:type="dxa"/>
              <w:tblLayout w:type="fixed"/>
              <w:tblLook w:val="04A0" w:firstRow="1" w:lastRow="0" w:firstColumn="1" w:lastColumn="0" w:noHBand="0" w:noVBand="1"/>
            </w:tblPr>
            <w:tblGrid>
              <w:gridCol w:w="2494"/>
              <w:gridCol w:w="2495"/>
              <w:gridCol w:w="2495"/>
            </w:tblGrid>
            <w:tr w:rsidR="00FB0828" w14:paraId="4CC94BD1" w14:textId="77777777">
              <w:tc>
                <w:tcPr>
                  <w:tcW w:w="2494" w:type="dxa"/>
                </w:tcPr>
                <w:p w14:paraId="19A7CCFE" w14:textId="77777777" w:rsidR="00FB0828" w:rsidRDefault="00000000">
                  <w:pPr>
                    <w:rPr>
                      <w:bCs/>
                      <w:sz w:val="24"/>
                    </w:rPr>
                  </w:pPr>
                  <w:r>
                    <w:rPr>
                      <w:rFonts w:hint="eastAsia"/>
                      <w:bCs/>
                      <w:sz w:val="24"/>
                    </w:rPr>
                    <w:lastRenderedPageBreak/>
                    <w:t>相关商品市场</w:t>
                  </w:r>
                </w:p>
              </w:tc>
              <w:tc>
                <w:tcPr>
                  <w:tcW w:w="2495" w:type="dxa"/>
                </w:tcPr>
                <w:p w14:paraId="6367199E" w14:textId="77777777" w:rsidR="00FB0828" w:rsidRDefault="00000000">
                  <w:pPr>
                    <w:rPr>
                      <w:bCs/>
                      <w:sz w:val="24"/>
                    </w:rPr>
                  </w:pPr>
                  <w:r>
                    <w:rPr>
                      <w:rFonts w:hint="eastAsia"/>
                      <w:bCs/>
                      <w:sz w:val="24"/>
                    </w:rPr>
                    <w:t>相关地域市场</w:t>
                  </w:r>
                </w:p>
              </w:tc>
              <w:tc>
                <w:tcPr>
                  <w:tcW w:w="2495" w:type="dxa"/>
                </w:tcPr>
                <w:p w14:paraId="2B7ADBAB" w14:textId="77777777" w:rsidR="00FB0828" w:rsidRDefault="00000000">
                  <w:pPr>
                    <w:rPr>
                      <w:bCs/>
                      <w:sz w:val="24"/>
                    </w:rPr>
                  </w:pPr>
                  <w:r>
                    <w:rPr>
                      <w:rFonts w:hint="eastAsia"/>
                      <w:bCs/>
                      <w:sz w:val="24"/>
                    </w:rPr>
                    <w:t>2023</w:t>
                  </w:r>
                  <w:r>
                    <w:rPr>
                      <w:rFonts w:hint="eastAsia"/>
                      <w:bCs/>
                      <w:sz w:val="24"/>
                    </w:rPr>
                    <w:t>年市场份额</w:t>
                  </w:r>
                </w:p>
              </w:tc>
            </w:tr>
            <w:tr w:rsidR="00FB0828" w14:paraId="6C8CA4D5" w14:textId="77777777">
              <w:tc>
                <w:tcPr>
                  <w:tcW w:w="2494" w:type="dxa"/>
                </w:tcPr>
                <w:p w14:paraId="219E7A57" w14:textId="77777777" w:rsidR="00FB0828" w:rsidRDefault="00000000">
                  <w:pPr>
                    <w:rPr>
                      <w:bCs/>
                      <w:sz w:val="24"/>
                    </w:rPr>
                  </w:pPr>
                  <w:r>
                    <w:rPr>
                      <w:rFonts w:hint="eastAsia"/>
                      <w:bCs/>
                      <w:sz w:val="24"/>
                    </w:rPr>
                    <w:t>上游：液化天然气供应市场</w:t>
                  </w:r>
                </w:p>
                <w:p w14:paraId="68B7D3B6" w14:textId="77777777" w:rsidR="00FB0828" w:rsidRDefault="00000000">
                  <w:pPr>
                    <w:rPr>
                      <w:bCs/>
                      <w:sz w:val="24"/>
                    </w:rPr>
                  </w:pPr>
                  <w:r>
                    <w:rPr>
                      <w:rFonts w:hint="eastAsia"/>
                      <w:bCs/>
                      <w:sz w:val="24"/>
                    </w:rPr>
                    <w:t>下游：</w:t>
                  </w:r>
                  <w:r>
                    <w:rPr>
                      <w:bCs/>
                      <w:sz w:val="24"/>
                    </w:rPr>
                    <w:t>车用液化天然气加气站零售市场</w:t>
                  </w:r>
                </w:p>
              </w:tc>
              <w:tc>
                <w:tcPr>
                  <w:tcW w:w="2495" w:type="dxa"/>
                </w:tcPr>
                <w:p w14:paraId="3C9649F7" w14:textId="77777777" w:rsidR="00FB0828" w:rsidRDefault="00000000">
                  <w:pPr>
                    <w:rPr>
                      <w:bCs/>
                      <w:sz w:val="24"/>
                    </w:rPr>
                  </w:pPr>
                  <w:r>
                    <w:rPr>
                      <w:rFonts w:hint="eastAsia"/>
                      <w:bCs/>
                      <w:sz w:val="24"/>
                    </w:rPr>
                    <w:t>上游：全球</w:t>
                  </w:r>
                </w:p>
                <w:p w14:paraId="35F0E577" w14:textId="77777777" w:rsidR="00FB0828" w:rsidRDefault="00000000">
                  <w:pPr>
                    <w:pStyle w:val="a0"/>
                  </w:pPr>
                  <w:r>
                    <w:rPr>
                      <w:rFonts w:hint="eastAsia"/>
                      <w:bCs/>
                      <w:sz w:val="24"/>
                    </w:rPr>
                    <w:t>下游：</w:t>
                  </w:r>
                  <w:r>
                    <w:rPr>
                      <w:bCs/>
                      <w:sz w:val="24"/>
                    </w:rPr>
                    <w:t>昆明市</w:t>
                  </w:r>
                </w:p>
              </w:tc>
              <w:tc>
                <w:tcPr>
                  <w:tcW w:w="2495" w:type="dxa"/>
                </w:tcPr>
                <w:p w14:paraId="7506B748" w14:textId="77777777" w:rsidR="00FB0828" w:rsidRDefault="00000000">
                  <w:pPr>
                    <w:rPr>
                      <w:bCs/>
                      <w:sz w:val="24"/>
                    </w:rPr>
                  </w:pPr>
                  <w:r>
                    <w:rPr>
                      <w:rFonts w:hint="eastAsia"/>
                      <w:bCs/>
                      <w:sz w:val="24"/>
                    </w:rPr>
                    <w:t>上游：全球液化天然气供应市场</w:t>
                  </w:r>
                </w:p>
                <w:p w14:paraId="3F9EF837" w14:textId="77777777" w:rsidR="00FB0828" w:rsidRDefault="00000000">
                  <w:pPr>
                    <w:pStyle w:val="a0"/>
                    <w:rPr>
                      <w:bCs/>
                      <w:sz w:val="24"/>
                    </w:rPr>
                  </w:pPr>
                  <w:r>
                    <w:rPr>
                      <w:rFonts w:hint="eastAsia"/>
                      <w:bCs/>
                      <w:sz w:val="24"/>
                    </w:rPr>
                    <w:t>中国石化销售：全球：</w:t>
                  </w:r>
                  <w:r>
                    <w:rPr>
                      <w:rFonts w:hint="eastAsia"/>
                      <w:bCs/>
                      <w:sz w:val="24"/>
                    </w:rPr>
                    <w:t>0-5%</w:t>
                  </w:r>
                  <w:r>
                    <w:rPr>
                      <w:rFonts w:hint="eastAsia"/>
                      <w:bCs/>
                      <w:sz w:val="24"/>
                    </w:rPr>
                    <w:t>；中国境内：</w:t>
                  </w:r>
                  <w:r>
                    <w:rPr>
                      <w:rFonts w:hint="eastAsia"/>
                      <w:bCs/>
                      <w:sz w:val="24"/>
                    </w:rPr>
                    <w:t>20-25%</w:t>
                  </w:r>
                </w:p>
                <w:p w14:paraId="1AC23F2B" w14:textId="77777777" w:rsidR="00FB0828" w:rsidRDefault="00000000">
                  <w:pPr>
                    <w:rPr>
                      <w:bCs/>
                      <w:sz w:val="24"/>
                    </w:rPr>
                  </w:pPr>
                  <w:r>
                    <w:rPr>
                      <w:rFonts w:hint="eastAsia"/>
                      <w:bCs/>
                      <w:sz w:val="24"/>
                    </w:rPr>
                    <w:t>下游：</w:t>
                  </w:r>
                  <w:r>
                    <w:rPr>
                      <w:bCs/>
                      <w:sz w:val="24"/>
                    </w:rPr>
                    <w:t>昆明市车用液化天然气加气站零售市场</w:t>
                  </w:r>
                </w:p>
                <w:p w14:paraId="277FFBD2" w14:textId="77777777" w:rsidR="00FB0828" w:rsidRDefault="00000000">
                  <w:pPr>
                    <w:pStyle w:val="a0"/>
                  </w:pPr>
                  <w:r>
                    <w:rPr>
                      <w:rFonts w:hint="eastAsia"/>
                      <w:sz w:val="24"/>
                    </w:rPr>
                    <w:t>车用能源</w:t>
                  </w:r>
                  <w:r>
                    <w:rPr>
                      <w:bCs/>
                      <w:sz w:val="24"/>
                    </w:rPr>
                    <w:t>：</w:t>
                  </w:r>
                  <w:r>
                    <w:rPr>
                      <w:bCs/>
                      <w:sz w:val="24"/>
                    </w:rPr>
                    <w:t>15-20%</w:t>
                  </w:r>
                </w:p>
              </w:tc>
            </w:tr>
            <w:tr w:rsidR="00FB0828" w14:paraId="714494B8" w14:textId="77777777">
              <w:tc>
                <w:tcPr>
                  <w:tcW w:w="2494" w:type="dxa"/>
                </w:tcPr>
                <w:p w14:paraId="3EBDB520" w14:textId="77777777" w:rsidR="00FB0828" w:rsidRDefault="00000000">
                  <w:pPr>
                    <w:rPr>
                      <w:bCs/>
                      <w:sz w:val="24"/>
                    </w:rPr>
                  </w:pPr>
                  <w:r>
                    <w:rPr>
                      <w:rFonts w:hint="eastAsia"/>
                      <w:bCs/>
                      <w:sz w:val="24"/>
                    </w:rPr>
                    <w:t>上游：城市管道天然气供应市场</w:t>
                  </w:r>
                </w:p>
                <w:p w14:paraId="5D6D2FC1" w14:textId="77777777" w:rsidR="00FB0828" w:rsidRDefault="00000000">
                  <w:pPr>
                    <w:pStyle w:val="a0"/>
                  </w:pPr>
                  <w:r>
                    <w:rPr>
                      <w:rFonts w:hint="eastAsia"/>
                      <w:bCs/>
                      <w:sz w:val="24"/>
                    </w:rPr>
                    <w:t>下游：</w:t>
                  </w:r>
                  <w:r>
                    <w:rPr>
                      <w:bCs/>
                      <w:sz w:val="24"/>
                    </w:rPr>
                    <w:t>车用压缩天然气加气站零售市场</w:t>
                  </w:r>
                </w:p>
              </w:tc>
              <w:tc>
                <w:tcPr>
                  <w:tcW w:w="2495" w:type="dxa"/>
                </w:tcPr>
                <w:p w14:paraId="33D40686" w14:textId="77777777" w:rsidR="00FB0828" w:rsidRDefault="00000000">
                  <w:pPr>
                    <w:rPr>
                      <w:bCs/>
                      <w:sz w:val="24"/>
                    </w:rPr>
                  </w:pPr>
                  <w:r>
                    <w:rPr>
                      <w:rFonts w:hint="eastAsia"/>
                      <w:bCs/>
                      <w:sz w:val="24"/>
                    </w:rPr>
                    <w:t>上游：中国境内</w:t>
                  </w:r>
                </w:p>
                <w:p w14:paraId="0C8D5816" w14:textId="77777777" w:rsidR="00FB0828" w:rsidRDefault="00000000">
                  <w:pPr>
                    <w:rPr>
                      <w:bCs/>
                      <w:sz w:val="24"/>
                    </w:rPr>
                  </w:pPr>
                  <w:r>
                    <w:rPr>
                      <w:rFonts w:hint="eastAsia"/>
                      <w:bCs/>
                      <w:sz w:val="24"/>
                    </w:rPr>
                    <w:t>下游：</w:t>
                  </w:r>
                  <w:r>
                    <w:rPr>
                      <w:bCs/>
                      <w:sz w:val="24"/>
                    </w:rPr>
                    <w:t>昆明市</w:t>
                  </w:r>
                </w:p>
              </w:tc>
              <w:tc>
                <w:tcPr>
                  <w:tcW w:w="2495" w:type="dxa"/>
                </w:tcPr>
                <w:p w14:paraId="1C7EB87D" w14:textId="77777777" w:rsidR="00FB0828" w:rsidRDefault="00000000">
                  <w:pPr>
                    <w:rPr>
                      <w:bCs/>
                      <w:sz w:val="24"/>
                    </w:rPr>
                  </w:pPr>
                  <w:r>
                    <w:rPr>
                      <w:rFonts w:hint="eastAsia"/>
                      <w:bCs/>
                      <w:sz w:val="24"/>
                    </w:rPr>
                    <w:t>上游：中国境内城市管道天然气供应市场</w:t>
                  </w:r>
                </w:p>
                <w:p w14:paraId="6A1134DB" w14:textId="77777777" w:rsidR="00FB0828" w:rsidRDefault="00000000">
                  <w:pPr>
                    <w:pStyle w:val="a0"/>
                  </w:pPr>
                  <w:r>
                    <w:rPr>
                      <w:rFonts w:hint="eastAsia"/>
                      <w:bCs/>
                      <w:sz w:val="24"/>
                    </w:rPr>
                    <w:t>中国石化销售：</w:t>
                  </w:r>
                  <w:r>
                    <w:rPr>
                      <w:rFonts w:hint="eastAsia"/>
                      <w:bCs/>
                      <w:sz w:val="24"/>
                    </w:rPr>
                    <w:t>0-5%</w:t>
                  </w:r>
                </w:p>
                <w:p w14:paraId="572FDF3D" w14:textId="77777777" w:rsidR="00FB0828" w:rsidRDefault="00000000">
                  <w:pPr>
                    <w:pStyle w:val="a0"/>
                    <w:rPr>
                      <w:bCs/>
                      <w:sz w:val="24"/>
                    </w:rPr>
                  </w:pPr>
                  <w:r>
                    <w:rPr>
                      <w:rFonts w:hint="eastAsia"/>
                      <w:bCs/>
                      <w:sz w:val="24"/>
                    </w:rPr>
                    <w:t>下游：</w:t>
                  </w:r>
                  <w:r>
                    <w:rPr>
                      <w:bCs/>
                      <w:sz w:val="24"/>
                    </w:rPr>
                    <w:t>昆明市车用压缩天然气加气站零售市场</w:t>
                  </w:r>
                </w:p>
                <w:p w14:paraId="6C2E79D8" w14:textId="77777777" w:rsidR="00FB0828" w:rsidRDefault="00000000">
                  <w:r>
                    <w:rPr>
                      <w:rFonts w:hint="eastAsia"/>
                      <w:bCs/>
                      <w:sz w:val="24"/>
                    </w:rPr>
                    <w:t>车用能源：</w:t>
                  </w:r>
                  <w:r>
                    <w:rPr>
                      <w:bCs/>
                      <w:sz w:val="24"/>
                    </w:rPr>
                    <w:t>5-10%</w:t>
                  </w:r>
                </w:p>
              </w:tc>
            </w:tr>
          </w:tbl>
          <w:p w14:paraId="5D721291" w14:textId="77777777" w:rsidR="00FB0828" w:rsidRDefault="00FB0828">
            <w:pPr>
              <w:rPr>
                <w:bCs/>
                <w:sz w:val="24"/>
              </w:rPr>
            </w:pPr>
          </w:p>
        </w:tc>
      </w:tr>
    </w:tbl>
    <w:p w14:paraId="20C79D0B" w14:textId="77777777" w:rsidR="00FB0828" w:rsidRDefault="00FB0828"/>
    <w:sectPr w:rsidR="00FB0828">
      <w:endnotePr>
        <w:numFmt w:val="decimal"/>
      </w:endnotePr>
      <w:pgSz w:w="11906" w:h="16838"/>
      <w:pgMar w:top="1984" w:right="1474" w:bottom="1644" w:left="1474" w:header="794"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2D66777" w14:textId="77777777" w:rsidR="00C310D6" w:rsidRDefault="00C310D6" w:rsidP="00602F6D">
      <w:r>
        <w:separator/>
      </w:r>
    </w:p>
  </w:endnote>
  <w:endnote w:type="continuationSeparator" w:id="0">
    <w:p w14:paraId="4598BC46" w14:textId="77777777" w:rsidR="00C310D6" w:rsidRDefault="00C310D6" w:rsidP="00602F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default"/>
    <w:sig w:usb0="800002BF" w:usb1="38CF7CFA" w:usb2="00000016" w:usb3="00000000" w:csb0="00040001" w:csb1="00000000"/>
  </w:font>
  <w:font w:name="Times New Roman (正文 CS 字体)">
    <w:altName w:val="宋体"/>
    <w:charset w:val="86"/>
    <w:family w:val="roman"/>
    <w:pitch w:val="default"/>
  </w:font>
  <w:font w:name="等线">
    <w:altName w:val="DengXian"/>
    <w:panose1 w:val="02010600030101010101"/>
    <w:charset w:val="86"/>
    <w:family w:val="auto"/>
    <w:pitch w:val="variable"/>
    <w:sig w:usb0="A00002BF" w:usb1="38CF7CFA" w:usb2="00000016" w:usb3="00000000" w:csb0="0004000F" w:csb1="00000000"/>
  </w:font>
  <w:font w:name="Wingdings">
    <w:panose1 w:val="05000000000000000000"/>
    <w:charset w:val="02"/>
    <w:family w:val="auto"/>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465CDEF" w14:textId="77777777" w:rsidR="00C310D6" w:rsidRDefault="00C310D6" w:rsidP="00602F6D">
      <w:r>
        <w:separator/>
      </w:r>
    </w:p>
  </w:footnote>
  <w:footnote w:type="continuationSeparator" w:id="0">
    <w:p w14:paraId="6237BADF" w14:textId="77777777" w:rsidR="00C310D6" w:rsidRDefault="00C310D6" w:rsidP="00602F6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8A2297F"/>
    <w:multiLevelType w:val="multilevel"/>
    <w:tmpl w:val="48A2297F"/>
    <w:lvl w:ilvl="0">
      <w:start w:val="1"/>
      <w:numFmt w:val="decimal"/>
      <w:pStyle w:val="2"/>
      <w:lvlText w:val="%1."/>
      <w:lvlJc w:val="left"/>
      <w:pPr>
        <w:tabs>
          <w:tab w:val="left" w:pos="720"/>
        </w:tabs>
        <w:ind w:left="720" w:hanging="720"/>
      </w:pPr>
    </w:lvl>
    <w:lvl w:ilvl="1">
      <w:start w:val="1"/>
      <w:numFmt w:val="decimal"/>
      <w:lvlText w:val="%2."/>
      <w:lvlJc w:val="left"/>
      <w:pPr>
        <w:tabs>
          <w:tab w:val="left" w:pos="1440"/>
        </w:tabs>
        <w:ind w:left="1440" w:hanging="720"/>
      </w:pPr>
    </w:lvl>
    <w:lvl w:ilvl="2">
      <w:start w:val="1"/>
      <w:numFmt w:val="decimal"/>
      <w:lvlText w:val="%3."/>
      <w:lvlJc w:val="left"/>
      <w:pPr>
        <w:tabs>
          <w:tab w:val="left" w:pos="2160"/>
        </w:tabs>
        <w:ind w:left="2160" w:hanging="720"/>
      </w:pPr>
    </w:lvl>
    <w:lvl w:ilvl="3">
      <w:start w:val="1"/>
      <w:numFmt w:val="decimal"/>
      <w:lvlText w:val="%4."/>
      <w:lvlJc w:val="left"/>
      <w:pPr>
        <w:tabs>
          <w:tab w:val="left" w:pos="2880"/>
        </w:tabs>
        <w:ind w:left="2880" w:hanging="720"/>
      </w:pPr>
    </w:lvl>
    <w:lvl w:ilvl="4">
      <w:start w:val="1"/>
      <w:numFmt w:val="decimal"/>
      <w:lvlText w:val="%5."/>
      <w:lvlJc w:val="left"/>
      <w:pPr>
        <w:tabs>
          <w:tab w:val="left" w:pos="3600"/>
        </w:tabs>
        <w:ind w:left="3600" w:hanging="720"/>
      </w:pPr>
    </w:lvl>
    <w:lvl w:ilvl="5">
      <w:start w:val="1"/>
      <w:numFmt w:val="decimal"/>
      <w:lvlText w:val="%6."/>
      <w:lvlJc w:val="left"/>
      <w:pPr>
        <w:tabs>
          <w:tab w:val="left" w:pos="4320"/>
        </w:tabs>
        <w:ind w:left="4320" w:hanging="720"/>
      </w:pPr>
    </w:lvl>
    <w:lvl w:ilvl="6">
      <w:start w:val="1"/>
      <w:numFmt w:val="decimal"/>
      <w:lvlText w:val="%7."/>
      <w:lvlJc w:val="left"/>
      <w:pPr>
        <w:tabs>
          <w:tab w:val="left" w:pos="5040"/>
        </w:tabs>
        <w:ind w:left="5040" w:hanging="720"/>
      </w:pPr>
    </w:lvl>
    <w:lvl w:ilvl="7">
      <w:start w:val="1"/>
      <w:numFmt w:val="decimal"/>
      <w:lvlText w:val="%8."/>
      <w:lvlJc w:val="left"/>
      <w:pPr>
        <w:tabs>
          <w:tab w:val="left" w:pos="5760"/>
        </w:tabs>
        <w:ind w:left="5760" w:hanging="720"/>
      </w:pPr>
    </w:lvl>
    <w:lvl w:ilvl="8">
      <w:start w:val="1"/>
      <w:numFmt w:val="decimal"/>
      <w:lvlText w:val="%9."/>
      <w:lvlJc w:val="left"/>
      <w:pPr>
        <w:tabs>
          <w:tab w:val="left" w:pos="6480"/>
        </w:tabs>
        <w:ind w:left="6480" w:hanging="720"/>
      </w:pPr>
    </w:lvl>
  </w:abstractNum>
  <w:num w:numId="1" w16cid:durableId="1127902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trackRevisions/>
  <w:defaultTabStop w:val="420"/>
  <w:drawingGridHorizontalSpacing w:val="105"/>
  <w:drawingGridVerticalSpacing w:val="156"/>
  <w:noPunctuationKerning/>
  <w:characterSpacingControl w:val="compressPunctuation"/>
  <w:hdrShapeDefaults>
    <o:shapedefaults v:ext="edit" spidmax="2050"/>
  </w:hdrShapeDefaults>
  <w:footnotePr>
    <w:footnote w:id="-1"/>
    <w:footnote w:id="0"/>
  </w:footnotePr>
  <w:endnotePr>
    <w:numFmt w:val="decimal"/>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mJkYmUyNTc0NDc4ZTg3ZjRhYjdiODJiMjQ4M2Y4Y2QifQ=="/>
  </w:docVars>
  <w:rsids>
    <w:rsidRoot w:val="00AE43F9"/>
    <w:rsid w:val="000906F8"/>
    <w:rsid w:val="00133BD3"/>
    <w:rsid w:val="002F4F5E"/>
    <w:rsid w:val="004C795B"/>
    <w:rsid w:val="00506DE6"/>
    <w:rsid w:val="005613E9"/>
    <w:rsid w:val="00601F5A"/>
    <w:rsid w:val="00602F6D"/>
    <w:rsid w:val="006D2083"/>
    <w:rsid w:val="009B7E2B"/>
    <w:rsid w:val="00A950F5"/>
    <w:rsid w:val="00AE43F9"/>
    <w:rsid w:val="00B03125"/>
    <w:rsid w:val="00C310D6"/>
    <w:rsid w:val="00CC520C"/>
    <w:rsid w:val="00D25A04"/>
    <w:rsid w:val="00F04C80"/>
    <w:rsid w:val="00F10255"/>
    <w:rsid w:val="00F2245E"/>
    <w:rsid w:val="00FB0828"/>
    <w:rsid w:val="0B1B48B8"/>
    <w:rsid w:val="13785A44"/>
    <w:rsid w:val="1E40353F"/>
    <w:rsid w:val="1ECF3FD9"/>
    <w:rsid w:val="28A83E99"/>
    <w:rsid w:val="2A4D432C"/>
    <w:rsid w:val="30B8648A"/>
    <w:rsid w:val="325B2EC3"/>
    <w:rsid w:val="49824A6A"/>
    <w:rsid w:val="53925529"/>
    <w:rsid w:val="5688248E"/>
    <w:rsid w:val="5A065B14"/>
    <w:rsid w:val="5BBC3E4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docId w15:val="{9E92B238-6F3B-4B2B-8E17-BDA511E702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qFormat="1"/>
    <w:lsdException w:name="footnote text" w:semiHidden="1" w:unhideWhenUsed="1"/>
    <w:lsdException w:name="annotation text" w:semiHidden="1" w:unhideWhenUsed="1"/>
    <w:lsdException w:name="header" w:uiPriority="0" w:qFormat="1"/>
    <w:lsdException w:name="footer"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uiPriority="0"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next w:val="a0"/>
    <w:qFormat/>
    <w:pPr>
      <w:widowControl w:val="0"/>
      <w:jc w:val="both"/>
    </w:pPr>
    <w:rPr>
      <w:kern w:val="2"/>
      <w:sz w:val="21"/>
      <w:szCs w:val="24"/>
    </w:rPr>
  </w:style>
  <w:style w:type="paragraph" w:styleId="1">
    <w:name w:val="heading 1"/>
    <w:basedOn w:val="a"/>
    <w:next w:val="a"/>
    <w:link w:val="10"/>
    <w:uiPriority w:val="9"/>
    <w:qFormat/>
    <w:pPr>
      <w:keepNext/>
      <w:keepLines/>
      <w:spacing w:before="480" w:after="80"/>
      <w:outlineLvl w:val="0"/>
    </w:pPr>
    <w:rPr>
      <w:rFonts w:asciiTheme="majorHAnsi" w:eastAsiaTheme="majorEastAsia" w:hAnsiTheme="majorHAnsi" w:cstheme="majorBidi"/>
      <w:color w:val="0F4761" w:themeColor="accent1" w:themeShade="BF"/>
      <w:sz w:val="48"/>
      <w:szCs w:val="48"/>
      <w:lang w:val="en-GB"/>
    </w:rPr>
  </w:style>
  <w:style w:type="paragraph" w:styleId="2">
    <w:name w:val="heading 2"/>
    <w:basedOn w:val="a1"/>
    <w:next w:val="a"/>
    <w:link w:val="20"/>
    <w:uiPriority w:val="9"/>
    <w:unhideWhenUsed/>
    <w:qFormat/>
    <w:pPr>
      <w:numPr>
        <w:numId w:val="1"/>
      </w:numPr>
      <w:spacing w:before="240" w:after="240" w:line="276" w:lineRule="auto"/>
      <w:ind w:firstLineChars="0" w:firstLine="0"/>
      <w:outlineLvl w:val="1"/>
    </w:pPr>
    <w:rPr>
      <w:b/>
      <w:bCs/>
      <w:sz w:val="28"/>
      <w:szCs w:val="28"/>
      <w:lang w:val="en-US"/>
    </w:rPr>
  </w:style>
  <w:style w:type="paragraph" w:styleId="3">
    <w:name w:val="heading 3"/>
    <w:basedOn w:val="a"/>
    <w:next w:val="a"/>
    <w:link w:val="30"/>
    <w:uiPriority w:val="9"/>
    <w:semiHidden/>
    <w:unhideWhenUsed/>
    <w:qFormat/>
    <w:pPr>
      <w:keepNext/>
      <w:keepLines/>
      <w:spacing w:before="160" w:after="80"/>
      <w:outlineLvl w:val="2"/>
    </w:pPr>
    <w:rPr>
      <w:rFonts w:asciiTheme="majorHAnsi" w:eastAsiaTheme="majorEastAsia" w:hAnsiTheme="majorHAnsi" w:cstheme="majorBidi"/>
      <w:color w:val="0F4761" w:themeColor="accent1" w:themeShade="BF"/>
      <w:sz w:val="32"/>
      <w:szCs w:val="32"/>
      <w:lang w:val="en-GB"/>
    </w:rPr>
  </w:style>
  <w:style w:type="paragraph" w:styleId="4">
    <w:name w:val="heading 4"/>
    <w:basedOn w:val="a"/>
    <w:next w:val="a"/>
    <w:link w:val="40"/>
    <w:uiPriority w:val="9"/>
    <w:semiHidden/>
    <w:unhideWhenUsed/>
    <w:qFormat/>
    <w:pPr>
      <w:keepNext/>
      <w:keepLines/>
      <w:spacing w:before="80" w:after="40"/>
      <w:outlineLvl w:val="3"/>
    </w:pPr>
    <w:rPr>
      <w:rFonts w:asciiTheme="minorHAnsi" w:eastAsiaTheme="minorEastAsia" w:hAnsiTheme="minorHAnsi" w:cstheme="majorBidi"/>
      <w:color w:val="0F4761" w:themeColor="accent1" w:themeShade="BF"/>
      <w:sz w:val="28"/>
      <w:szCs w:val="28"/>
      <w:lang w:val="en-GB"/>
    </w:rPr>
  </w:style>
  <w:style w:type="paragraph" w:styleId="5">
    <w:name w:val="heading 5"/>
    <w:basedOn w:val="a"/>
    <w:next w:val="a"/>
    <w:link w:val="50"/>
    <w:uiPriority w:val="9"/>
    <w:semiHidden/>
    <w:unhideWhenUsed/>
    <w:qFormat/>
    <w:pPr>
      <w:keepNext/>
      <w:keepLines/>
      <w:spacing w:before="80" w:after="40"/>
      <w:outlineLvl w:val="4"/>
    </w:pPr>
    <w:rPr>
      <w:rFonts w:asciiTheme="minorHAnsi" w:eastAsiaTheme="minorEastAsia" w:hAnsiTheme="minorHAnsi" w:cstheme="majorBidi"/>
      <w:color w:val="0F4761" w:themeColor="accent1" w:themeShade="BF"/>
      <w:sz w:val="24"/>
      <w:lang w:val="en-GB"/>
    </w:rPr>
  </w:style>
  <w:style w:type="paragraph" w:styleId="6">
    <w:name w:val="heading 6"/>
    <w:basedOn w:val="a"/>
    <w:next w:val="a"/>
    <w:link w:val="60"/>
    <w:uiPriority w:val="9"/>
    <w:semiHidden/>
    <w:unhideWhenUsed/>
    <w:qFormat/>
    <w:pPr>
      <w:keepNext/>
      <w:keepLines/>
      <w:spacing w:before="40"/>
      <w:outlineLvl w:val="5"/>
    </w:pPr>
    <w:rPr>
      <w:rFonts w:asciiTheme="minorHAnsi" w:eastAsiaTheme="minorEastAsia" w:hAnsiTheme="minorHAnsi" w:cstheme="majorBidi"/>
      <w:b/>
      <w:bCs/>
      <w:color w:val="0F4761" w:themeColor="accent1" w:themeShade="BF"/>
      <w:lang w:val="en-GB"/>
    </w:rPr>
  </w:style>
  <w:style w:type="paragraph" w:styleId="7">
    <w:name w:val="heading 7"/>
    <w:basedOn w:val="a"/>
    <w:next w:val="a"/>
    <w:link w:val="70"/>
    <w:uiPriority w:val="9"/>
    <w:semiHidden/>
    <w:unhideWhenUsed/>
    <w:qFormat/>
    <w:pPr>
      <w:keepNext/>
      <w:keepLines/>
      <w:spacing w:before="40"/>
      <w:outlineLvl w:val="6"/>
    </w:pPr>
    <w:rPr>
      <w:rFonts w:asciiTheme="minorHAnsi" w:eastAsiaTheme="minorEastAsia" w:hAnsiTheme="minorHAnsi" w:cstheme="majorBidi"/>
      <w:b/>
      <w:bCs/>
      <w:color w:val="595959" w:themeColor="text1" w:themeTint="A6"/>
      <w:lang w:val="en-GB"/>
    </w:rPr>
  </w:style>
  <w:style w:type="paragraph" w:styleId="8">
    <w:name w:val="heading 8"/>
    <w:basedOn w:val="a"/>
    <w:next w:val="a"/>
    <w:link w:val="80"/>
    <w:uiPriority w:val="9"/>
    <w:semiHidden/>
    <w:unhideWhenUsed/>
    <w:qFormat/>
    <w:pPr>
      <w:keepNext/>
      <w:keepLines/>
      <w:outlineLvl w:val="7"/>
    </w:pPr>
    <w:rPr>
      <w:rFonts w:asciiTheme="minorHAnsi" w:eastAsiaTheme="minorEastAsia" w:hAnsiTheme="minorHAnsi" w:cstheme="majorBidi"/>
      <w:color w:val="595959" w:themeColor="text1" w:themeTint="A6"/>
      <w:lang w:val="en-GB"/>
    </w:rPr>
  </w:style>
  <w:style w:type="paragraph" w:styleId="9">
    <w:name w:val="heading 9"/>
    <w:basedOn w:val="a"/>
    <w:next w:val="a"/>
    <w:link w:val="90"/>
    <w:uiPriority w:val="9"/>
    <w:semiHidden/>
    <w:unhideWhenUsed/>
    <w:qFormat/>
    <w:pPr>
      <w:keepNext/>
      <w:keepLines/>
      <w:outlineLvl w:val="8"/>
    </w:pPr>
    <w:rPr>
      <w:rFonts w:asciiTheme="minorHAnsi" w:eastAsiaTheme="majorEastAsia" w:hAnsiTheme="minorHAnsi" w:cstheme="majorBidi"/>
      <w:color w:val="595959" w:themeColor="text1" w:themeTint="A6"/>
      <w:lang w:val="en-GB"/>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0">
    <w:name w:val="Normal Indent"/>
    <w:basedOn w:val="a"/>
    <w:next w:val="a"/>
    <w:uiPriority w:val="99"/>
    <w:qFormat/>
  </w:style>
  <w:style w:type="paragraph" w:styleId="a1">
    <w:name w:val="List Paragraph"/>
    <w:basedOn w:val="a"/>
    <w:uiPriority w:val="34"/>
    <w:qFormat/>
    <w:pPr>
      <w:ind w:firstLineChars="200" w:firstLine="420"/>
    </w:pPr>
    <w:rPr>
      <w:rFonts w:eastAsia="楷体" w:cs="Times New Roman (正文 CS 字体)"/>
      <w:lang w:val="en-GB"/>
    </w:rPr>
  </w:style>
  <w:style w:type="paragraph" w:styleId="a5">
    <w:name w:val="Body Text"/>
    <w:basedOn w:val="a"/>
    <w:next w:val="a6"/>
    <w:uiPriority w:val="99"/>
    <w:unhideWhenUsed/>
    <w:qFormat/>
    <w:pPr>
      <w:spacing w:after="120"/>
    </w:pPr>
  </w:style>
  <w:style w:type="paragraph" w:styleId="a6">
    <w:name w:val="Body Text First Indent"/>
    <w:basedOn w:val="a5"/>
    <w:qFormat/>
    <w:pPr>
      <w:ind w:firstLineChars="100" w:firstLine="420"/>
    </w:pPr>
  </w:style>
  <w:style w:type="paragraph" w:styleId="a7">
    <w:name w:val="footer"/>
    <w:basedOn w:val="a"/>
    <w:link w:val="a8"/>
    <w:uiPriority w:val="99"/>
    <w:qFormat/>
    <w:pPr>
      <w:tabs>
        <w:tab w:val="center" w:pos="4153"/>
        <w:tab w:val="right" w:pos="8306"/>
      </w:tabs>
      <w:snapToGrid w:val="0"/>
      <w:jc w:val="left"/>
    </w:pPr>
    <w:rPr>
      <w:sz w:val="18"/>
      <w:szCs w:val="18"/>
    </w:rPr>
  </w:style>
  <w:style w:type="paragraph" w:styleId="a9">
    <w:name w:val="header"/>
    <w:basedOn w:val="a"/>
    <w:link w:val="a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b">
    <w:name w:val="Subtitle"/>
    <w:basedOn w:val="a"/>
    <w:next w:val="a"/>
    <w:link w:val="ac"/>
    <w:uiPriority w:val="11"/>
    <w:qFormat/>
    <w:pPr>
      <w:spacing w:after="160"/>
      <w:jc w:val="center"/>
    </w:pPr>
    <w:rPr>
      <w:rFonts w:asciiTheme="majorHAnsi" w:eastAsiaTheme="majorEastAsia" w:hAnsiTheme="majorHAnsi" w:cstheme="majorBidi"/>
      <w:color w:val="595959" w:themeColor="text1" w:themeTint="A6"/>
      <w:spacing w:val="15"/>
      <w:sz w:val="28"/>
      <w:szCs w:val="28"/>
      <w:lang w:val="en-GB"/>
    </w:rPr>
  </w:style>
  <w:style w:type="paragraph" w:styleId="ad">
    <w:name w:val="Title"/>
    <w:basedOn w:val="a"/>
    <w:next w:val="a"/>
    <w:link w:val="ae"/>
    <w:uiPriority w:val="10"/>
    <w:qFormat/>
    <w:pPr>
      <w:spacing w:after="80"/>
      <w:contextualSpacing/>
      <w:jc w:val="center"/>
    </w:pPr>
    <w:rPr>
      <w:rFonts w:asciiTheme="majorHAnsi" w:eastAsiaTheme="majorEastAsia" w:hAnsiTheme="majorHAnsi" w:cstheme="majorBidi"/>
      <w:spacing w:val="-10"/>
      <w:kern w:val="28"/>
      <w:sz w:val="56"/>
      <w:szCs w:val="56"/>
      <w:lang w:val="en-GB"/>
    </w:rPr>
  </w:style>
  <w:style w:type="table" w:styleId="af">
    <w:name w:val="Table Grid"/>
    <w:basedOn w:val="a3"/>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0">
    <w:name w:val="标题 2 字符"/>
    <w:basedOn w:val="a2"/>
    <w:link w:val="2"/>
    <w:uiPriority w:val="9"/>
    <w:qFormat/>
    <w:rPr>
      <w:b/>
      <w:bCs/>
      <w:sz w:val="28"/>
      <w:szCs w:val="28"/>
    </w:rPr>
  </w:style>
  <w:style w:type="character" w:customStyle="1" w:styleId="10">
    <w:name w:val="标题 1 字符"/>
    <w:basedOn w:val="a2"/>
    <w:link w:val="1"/>
    <w:uiPriority w:val="9"/>
    <w:qFormat/>
    <w:rPr>
      <w:rFonts w:asciiTheme="majorHAnsi" w:eastAsiaTheme="majorEastAsia" w:hAnsiTheme="majorHAnsi" w:cstheme="majorBidi"/>
      <w:color w:val="0F4761" w:themeColor="accent1" w:themeShade="BF"/>
      <w:sz w:val="48"/>
      <w:szCs w:val="48"/>
      <w:lang w:val="en-GB"/>
    </w:rPr>
  </w:style>
  <w:style w:type="character" w:customStyle="1" w:styleId="30">
    <w:name w:val="标题 3 字符"/>
    <w:basedOn w:val="a2"/>
    <w:link w:val="3"/>
    <w:uiPriority w:val="9"/>
    <w:semiHidden/>
    <w:qFormat/>
    <w:rPr>
      <w:rFonts w:asciiTheme="majorHAnsi" w:eastAsiaTheme="majorEastAsia" w:hAnsiTheme="majorHAnsi" w:cstheme="majorBidi"/>
      <w:color w:val="0F4761" w:themeColor="accent1" w:themeShade="BF"/>
      <w:sz w:val="32"/>
      <w:szCs w:val="32"/>
      <w:lang w:val="en-GB"/>
    </w:rPr>
  </w:style>
  <w:style w:type="character" w:customStyle="1" w:styleId="40">
    <w:name w:val="标题 4 字符"/>
    <w:basedOn w:val="a2"/>
    <w:link w:val="4"/>
    <w:uiPriority w:val="9"/>
    <w:semiHidden/>
    <w:qFormat/>
    <w:rPr>
      <w:rFonts w:asciiTheme="minorHAnsi" w:eastAsiaTheme="minorEastAsia" w:hAnsiTheme="minorHAnsi" w:cstheme="majorBidi"/>
      <w:color w:val="0F4761" w:themeColor="accent1" w:themeShade="BF"/>
      <w:sz w:val="28"/>
      <w:szCs w:val="28"/>
      <w:lang w:val="en-GB"/>
    </w:rPr>
  </w:style>
  <w:style w:type="character" w:customStyle="1" w:styleId="50">
    <w:name w:val="标题 5 字符"/>
    <w:basedOn w:val="a2"/>
    <w:link w:val="5"/>
    <w:uiPriority w:val="9"/>
    <w:semiHidden/>
    <w:qFormat/>
    <w:rPr>
      <w:rFonts w:asciiTheme="minorHAnsi" w:eastAsiaTheme="minorEastAsia" w:hAnsiTheme="minorHAnsi" w:cstheme="majorBidi"/>
      <w:color w:val="0F4761" w:themeColor="accent1" w:themeShade="BF"/>
      <w:sz w:val="24"/>
      <w:lang w:val="en-GB"/>
    </w:rPr>
  </w:style>
  <w:style w:type="character" w:customStyle="1" w:styleId="60">
    <w:name w:val="标题 6 字符"/>
    <w:basedOn w:val="a2"/>
    <w:link w:val="6"/>
    <w:uiPriority w:val="9"/>
    <w:semiHidden/>
    <w:qFormat/>
    <w:rPr>
      <w:rFonts w:asciiTheme="minorHAnsi" w:eastAsiaTheme="minorEastAsia" w:hAnsiTheme="minorHAnsi" w:cstheme="majorBidi"/>
      <w:b/>
      <w:bCs/>
      <w:color w:val="0F4761" w:themeColor="accent1" w:themeShade="BF"/>
      <w:lang w:val="en-GB"/>
    </w:rPr>
  </w:style>
  <w:style w:type="character" w:customStyle="1" w:styleId="70">
    <w:name w:val="标题 7 字符"/>
    <w:basedOn w:val="a2"/>
    <w:link w:val="7"/>
    <w:uiPriority w:val="9"/>
    <w:semiHidden/>
    <w:qFormat/>
    <w:rPr>
      <w:rFonts w:asciiTheme="minorHAnsi" w:eastAsiaTheme="minorEastAsia" w:hAnsiTheme="minorHAnsi" w:cstheme="majorBidi"/>
      <w:b/>
      <w:bCs/>
      <w:color w:val="595959" w:themeColor="text1" w:themeTint="A6"/>
      <w:lang w:val="en-GB"/>
    </w:rPr>
  </w:style>
  <w:style w:type="character" w:customStyle="1" w:styleId="80">
    <w:name w:val="标题 8 字符"/>
    <w:basedOn w:val="a2"/>
    <w:link w:val="8"/>
    <w:uiPriority w:val="9"/>
    <w:semiHidden/>
    <w:qFormat/>
    <w:rPr>
      <w:rFonts w:asciiTheme="minorHAnsi" w:eastAsiaTheme="minorEastAsia" w:hAnsiTheme="minorHAnsi" w:cstheme="majorBidi"/>
      <w:color w:val="595959" w:themeColor="text1" w:themeTint="A6"/>
      <w:lang w:val="en-GB"/>
    </w:rPr>
  </w:style>
  <w:style w:type="character" w:customStyle="1" w:styleId="90">
    <w:name w:val="标题 9 字符"/>
    <w:basedOn w:val="a2"/>
    <w:link w:val="9"/>
    <w:uiPriority w:val="9"/>
    <w:semiHidden/>
    <w:qFormat/>
    <w:rPr>
      <w:rFonts w:asciiTheme="minorHAnsi" w:eastAsiaTheme="majorEastAsia" w:hAnsiTheme="minorHAnsi" w:cstheme="majorBidi"/>
      <w:color w:val="595959" w:themeColor="text1" w:themeTint="A6"/>
      <w:lang w:val="en-GB"/>
    </w:rPr>
  </w:style>
  <w:style w:type="character" w:customStyle="1" w:styleId="ae">
    <w:name w:val="标题 字符"/>
    <w:basedOn w:val="a2"/>
    <w:link w:val="ad"/>
    <w:uiPriority w:val="10"/>
    <w:qFormat/>
    <w:rPr>
      <w:rFonts w:asciiTheme="majorHAnsi" w:eastAsiaTheme="majorEastAsia" w:hAnsiTheme="majorHAnsi" w:cstheme="majorBidi"/>
      <w:spacing w:val="-10"/>
      <w:kern w:val="28"/>
      <w:sz w:val="56"/>
      <w:szCs w:val="56"/>
      <w:lang w:val="en-GB"/>
    </w:rPr>
  </w:style>
  <w:style w:type="character" w:customStyle="1" w:styleId="ac">
    <w:name w:val="副标题 字符"/>
    <w:basedOn w:val="a2"/>
    <w:link w:val="ab"/>
    <w:uiPriority w:val="11"/>
    <w:qFormat/>
    <w:rPr>
      <w:rFonts w:asciiTheme="majorHAnsi" w:eastAsiaTheme="majorEastAsia" w:hAnsiTheme="majorHAnsi" w:cstheme="majorBidi"/>
      <w:color w:val="595959" w:themeColor="text1" w:themeTint="A6"/>
      <w:spacing w:val="15"/>
      <w:sz w:val="28"/>
      <w:szCs w:val="28"/>
      <w:lang w:val="en-GB"/>
    </w:rPr>
  </w:style>
  <w:style w:type="paragraph" w:styleId="af0">
    <w:name w:val="Quote"/>
    <w:basedOn w:val="a"/>
    <w:next w:val="a"/>
    <w:link w:val="af1"/>
    <w:uiPriority w:val="29"/>
    <w:qFormat/>
    <w:pPr>
      <w:spacing w:before="160" w:after="160"/>
      <w:jc w:val="center"/>
    </w:pPr>
    <w:rPr>
      <w:rFonts w:eastAsia="楷体" w:cs="Times New Roman (正文 CS 字体)"/>
      <w:i/>
      <w:iCs/>
      <w:color w:val="404040" w:themeColor="text1" w:themeTint="BF"/>
      <w:lang w:val="en-GB"/>
    </w:rPr>
  </w:style>
  <w:style w:type="character" w:customStyle="1" w:styleId="af1">
    <w:name w:val="引用 字符"/>
    <w:basedOn w:val="a2"/>
    <w:link w:val="af0"/>
    <w:uiPriority w:val="29"/>
    <w:qFormat/>
    <w:rPr>
      <w:i/>
      <w:iCs/>
      <w:color w:val="404040" w:themeColor="text1" w:themeTint="BF"/>
      <w:lang w:val="en-GB"/>
    </w:rPr>
  </w:style>
  <w:style w:type="character" w:customStyle="1" w:styleId="11">
    <w:name w:val="明显强调1"/>
    <w:basedOn w:val="a2"/>
    <w:uiPriority w:val="21"/>
    <w:qFormat/>
    <w:rPr>
      <w:i/>
      <w:iCs/>
      <w:color w:val="0F4761" w:themeColor="accent1" w:themeShade="BF"/>
    </w:rPr>
  </w:style>
  <w:style w:type="paragraph" w:styleId="af2">
    <w:name w:val="Intense Quote"/>
    <w:basedOn w:val="a"/>
    <w:next w:val="a"/>
    <w:link w:val="af3"/>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rFonts w:eastAsia="楷体" w:cs="Times New Roman (正文 CS 字体)"/>
      <w:i/>
      <w:iCs/>
      <w:color w:val="0F4761" w:themeColor="accent1" w:themeShade="BF"/>
      <w:lang w:val="en-GB"/>
    </w:rPr>
  </w:style>
  <w:style w:type="character" w:customStyle="1" w:styleId="af3">
    <w:name w:val="明显引用 字符"/>
    <w:basedOn w:val="a2"/>
    <w:link w:val="af2"/>
    <w:uiPriority w:val="30"/>
    <w:qFormat/>
    <w:rPr>
      <w:i/>
      <w:iCs/>
      <w:color w:val="0F4761" w:themeColor="accent1" w:themeShade="BF"/>
      <w:lang w:val="en-GB"/>
    </w:rPr>
  </w:style>
  <w:style w:type="character" w:customStyle="1" w:styleId="12">
    <w:name w:val="明显参考1"/>
    <w:basedOn w:val="a2"/>
    <w:uiPriority w:val="32"/>
    <w:qFormat/>
    <w:rPr>
      <w:b/>
      <w:bCs/>
      <w:smallCaps/>
      <w:color w:val="0F4761" w:themeColor="accent1" w:themeShade="BF"/>
      <w:spacing w:val="5"/>
    </w:rPr>
  </w:style>
  <w:style w:type="character" w:customStyle="1" w:styleId="a8">
    <w:name w:val="页脚 字符"/>
    <w:basedOn w:val="a2"/>
    <w:link w:val="a7"/>
    <w:uiPriority w:val="99"/>
    <w:qFormat/>
    <w:rPr>
      <w:rFonts w:eastAsia="宋体" w:cs="Times New Roman"/>
      <w:sz w:val="18"/>
      <w:szCs w:val="18"/>
    </w:rPr>
  </w:style>
  <w:style w:type="character" w:customStyle="1" w:styleId="aa">
    <w:name w:val="页眉 字符"/>
    <w:basedOn w:val="a2"/>
    <w:link w:val="a9"/>
    <w:qFormat/>
    <w:rPr>
      <w:rFonts w:eastAsia="宋体" w:cs="Times New Roman"/>
      <w:sz w:val="18"/>
    </w:rPr>
  </w:style>
  <w:style w:type="paragraph" w:customStyle="1" w:styleId="13">
    <w:name w:val="修订1"/>
    <w:hidden/>
    <w:uiPriority w:val="99"/>
    <w:unhideWhenUsed/>
    <w:qFormat/>
    <w:rPr>
      <w:kern w:val="2"/>
      <w:sz w:val="21"/>
      <w:szCs w:val="24"/>
    </w:rPr>
  </w:style>
  <w:style w:type="paragraph" w:styleId="af4">
    <w:name w:val="Revision"/>
    <w:hidden/>
    <w:uiPriority w:val="99"/>
    <w:unhideWhenUsed/>
    <w:rsid w:val="00602F6D"/>
    <w:rPr>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109036-B1BC-479C-85B9-274D95EC87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Pages>
  <Words>182</Words>
  <Characters>1041</Characters>
  <Application>Microsoft Office Word</Application>
  <DocSecurity>0</DocSecurity>
  <Lines>8</Lines>
  <Paragraphs>2</Paragraphs>
  <ScaleCrop>false</ScaleCrop>
  <Company/>
  <LinksUpToDate>false</LinksUpToDate>
  <CharactersWithSpaces>1221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AnJie Broad</dc:creator>
  <cp:lastModifiedBy>AnJie Broad</cp:lastModifiedBy>
  <cp:revision>4</cp:revision>
  <dcterms:created xsi:type="dcterms:W3CDTF">2024-10-18T14:24:00Z</dcterms:created>
  <dcterms:modified xsi:type="dcterms:W3CDTF">2024-11-11T08:01:00Z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2052-12.1.0.18608</vt:lpwstr>
  </property>
  <property fmtid="{D5CDD505-2E9C-101B-9397-08002B2CF9AE}" pid="3" name="ICV">
    <vt:lpwstr>A8B59FA49C1345B78CB457AE49AA4CCD_13</vt:lpwstr>
  </property>
</Properties>
</file>