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F6D82">
      <w:pPr>
        <w:widowControl/>
        <w:spacing w:after="240"/>
        <w:jc w:val="center"/>
        <w:rPr>
          <w:rFonts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r>
        <w:rPr>
          <w:rFonts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5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2A38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5088FC1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 w14:paraId="323B5BAA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t>索通发展股份有限公司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与上海峰瓯贸易有限公司新设合营企业案</w:t>
            </w:r>
          </w:p>
        </w:tc>
      </w:tr>
      <w:tr w14:paraId="6D9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4F98BFD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交易概况</w:t>
            </w:r>
          </w:p>
          <w:p w14:paraId="3204D39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 w14:paraId="7E35B63E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</w:rPr>
              <w:t>索通发展股份有限公司（“索通发展”）和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上海峰瓯贸易有限公司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</w:rPr>
              <w:t>（“峰瓯贸易”）签署协议，拟共同新设合营企业。合营企业主要从事预焙阳极生产和销售业务。本次交易后，索通发展和峰瓯贸易将分别持有合营企业55%和45%的股权，共同控制合营企业。</w:t>
            </w:r>
          </w:p>
        </w:tc>
      </w:tr>
      <w:tr w14:paraId="6A91D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4C96446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参与集中的</w:t>
            </w:r>
          </w:p>
          <w:p w14:paraId="3BCBB16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经营者简介</w:t>
            </w:r>
          </w:p>
          <w:p w14:paraId="1060E7C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（每个限100</w:t>
            </w:r>
          </w:p>
          <w:p w14:paraId="70A780D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 w14:paraId="6506E556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t>1.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</w:rPr>
              <w:t>索通发展</w:t>
            </w:r>
          </w:p>
        </w:tc>
        <w:tc>
          <w:tcPr>
            <w:tcW w:w="6093" w:type="dxa"/>
            <w:vAlign w:val="center"/>
          </w:tcPr>
          <w:p w14:paraId="549912A5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索通发展于2003年8月27日成立于山东省，为上海证券交易所上市公司，主要从事预焙阳极、锂电池负极材料、薄膜电容器的研发、生产及销售等业务。</w:t>
            </w:r>
          </w:p>
          <w:p w14:paraId="0F6D2E31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索通发展的最终控制人为自然人郎光辉，主要通过索通发展及其关联实体开展</w:t>
            </w:r>
            <w:r>
              <w:rPr>
                <w:rFonts w:hint="eastAsia" w:ascii="Times New Roman" w:hAnsi="Times New Roman" w:eastAsia="宋体" w:cs="Times New Roman"/>
                <w:sz w:val="22"/>
              </w:rPr>
              <w:t>业务，主要</w:t>
            </w:r>
            <w:r>
              <w:rPr>
                <w:rFonts w:ascii="Times New Roman" w:hAnsi="Times New Roman" w:eastAsia="宋体" w:cs="Times New Roman"/>
                <w:sz w:val="22"/>
              </w:rPr>
              <w:t>业务同上述。</w:t>
            </w:r>
          </w:p>
        </w:tc>
      </w:tr>
      <w:tr w14:paraId="679C3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77F22CF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 w14:paraId="20B3ACEA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t>2.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</w:rPr>
              <w:t>峰瓯贸易</w:t>
            </w:r>
          </w:p>
        </w:tc>
        <w:tc>
          <w:tcPr>
            <w:tcW w:w="6093" w:type="dxa"/>
            <w:vAlign w:val="center"/>
          </w:tcPr>
          <w:p w14:paraId="27FD54DE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峰瓯贸易</w:t>
            </w:r>
            <w:r>
              <w:rPr>
                <w:rFonts w:ascii="Times New Roman" w:hAnsi="Times New Roman" w:eastAsia="宋体" w:cs="Times New Roman"/>
                <w:sz w:val="22"/>
              </w:rPr>
              <w:t>于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2023年4月10日</w:t>
            </w:r>
            <w:r>
              <w:rPr>
                <w:rFonts w:ascii="Times New Roman" w:hAnsi="Times New Roman" w:eastAsia="宋体" w:cs="Times New Roman"/>
                <w:sz w:val="22"/>
              </w:rPr>
              <w:t>日成立于</w:t>
            </w:r>
            <w:r>
              <w:rPr>
                <w:rFonts w:hint="eastAsia" w:ascii="Times New Roman" w:hAnsi="Times New Roman" w:eastAsia="宋体" w:cs="Times New Roman"/>
                <w:sz w:val="22"/>
              </w:rPr>
              <w:t>上海市</w:t>
            </w:r>
            <w:r>
              <w:rPr>
                <w:rFonts w:ascii="Times New Roman" w:hAnsi="Times New Roman" w:eastAsia="宋体" w:cs="Times New Roman"/>
                <w:sz w:val="22"/>
              </w:rPr>
              <w:t>，主要从事</w:t>
            </w:r>
            <w:r>
              <w:rPr>
                <w:rFonts w:hint="eastAsia" w:ascii="Times New Roman" w:hAnsi="Times New Roman" w:eastAsia="宋体" w:cs="Times New Roman"/>
                <w:sz w:val="22"/>
              </w:rPr>
              <w:t>电解铝相关设备等的贸易业务</w:t>
            </w:r>
            <w:r>
              <w:rPr>
                <w:rFonts w:ascii="Times New Roman" w:hAnsi="Times New Roman" w:eastAsia="宋体" w:cs="Times New Roman"/>
                <w:sz w:val="22"/>
              </w:rPr>
              <w:t>。</w:t>
            </w:r>
          </w:p>
          <w:p w14:paraId="3CAD838B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峰瓯贸易</w:t>
            </w:r>
            <w:r>
              <w:rPr>
                <w:rFonts w:ascii="Times New Roman" w:hAnsi="Times New Roman" w:eastAsia="宋体" w:cs="Times New Roman"/>
                <w:sz w:val="22"/>
              </w:rPr>
              <w:t>的最终控制人为自然人</w:t>
            </w:r>
            <w:r>
              <w:rPr>
                <w:rFonts w:hint="eastAsia" w:ascii="Times New Roman" w:hAnsi="Times New Roman" w:eastAsia="宋体" w:cs="Times New Roman"/>
                <w:sz w:val="22"/>
              </w:rPr>
              <w:t>尤小平</w:t>
            </w:r>
            <w:r>
              <w:rPr>
                <w:rFonts w:ascii="Times New Roman" w:hAnsi="Times New Roman" w:eastAsia="宋体" w:cs="Times New Roman"/>
                <w:sz w:val="22"/>
              </w:rPr>
              <w:t>，主要通过</w:t>
            </w:r>
            <w:r>
              <w:rPr>
                <w:rFonts w:hint="eastAsia" w:ascii="Times New Roman" w:hAnsi="Times New Roman" w:eastAsia="宋体" w:cs="Times New Roman"/>
                <w:sz w:val="22"/>
              </w:rPr>
              <w:t>华峰集团有限公司开展化工新材料、铝材料、新能源、金融投资、物流贸易等产业业务</w:t>
            </w:r>
            <w:r>
              <w:rPr>
                <w:rFonts w:ascii="Times New Roman" w:hAnsi="Times New Roman" w:eastAsia="宋体" w:cs="Times New Roman"/>
                <w:sz w:val="22"/>
              </w:rPr>
              <w:t>。</w:t>
            </w:r>
          </w:p>
        </w:tc>
      </w:tr>
      <w:tr w14:paraId="6E6E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6FC9952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简易案件理由（可以单选，</w:t>
            </w:r>
          </w:p>
          <w:p w14:paraId="236CAC4D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 w14:paraId="1B1ACE6E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t xml:space="preserve"> 1、在同一相关市场，所有参与集中的经营者所占市场份额之和小于15%。</w:t>
            </w:r>
          </w:p>
        </w:tc>
      </w:tr>
      <w:tr w14:paraId="7191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118AE08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D56BB3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sym w:font="Wingdings" w:char="00FE"/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t xml:space="preserve"> 2、存在上下游关系的参与集中的经营者，在上下游市场所占的市场份额均小于25%。</w:t>
            </w:r>
          </w:p>
        </w:tc>
      </w:tr>
      <w:tr w14:paraId="16A4B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7293B02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6DA1001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5F0F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489851C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6874932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6EC17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7834EAE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123A018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74CB3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0E18839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D7BE348">
            <w:pPr>
              <w:adjustRightInd w:val="0"/>
              <w:snapToGrid w:val="0"/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0DFA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32C86CE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E0731C9">
            <w:pPr>
              <w:rPr>
                <w:rFonts w:ascii="Times New Roman" w:hAnsi="Times New Roman" w:eastAsia="宋体" w:cs="Times New Roman"/>
                <w:b/>
                <w:color w:val="000000"/>
                <w:sz w:val="22"/>
                <w:lang w:bidi="ar-AE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2"/>
                <w:lang w:bidi="ar-AE"/>
              </w:rPr>
              <w:t>纵向关联：</w:t>
            </w:r>
          </w:p>
          <w:tbl>
            <w:tblPr>
              <w:tblStyle w:val="15"/>
              <w:tblW w:w="7404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336"/>
              <w:gridCol w:w="1842"/>
              <w:gridCol w:w="3226"/>
            </w:tblGrid>
            <w:tr w14:paraId="1C2728E2">
              <w:tc>
                <w:tcPr>
                  <w:tcW w:w="233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0DD1A0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  <w:t>相关商品市场</w:t>
                  </w:r>
                </w:p>
              </w:tc>
              <w:tc>
                <w:tcPr>
                  <w:tcW w:w="184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E2FA649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  <w:t>相关地域市场</w:t>
                  </w:r>
                </w:p>
              </w:tc>
              <w:tc>
                <w:tcPr>
                  <w:tcW w:w="32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0B4372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  <w:t>2023年市场份额</w:t>
                  </w:r>
                </w:p>
              </w:tc>
            </w:tr>
            <w:tr w14:paraId="0B9CF76D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33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5582FFC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sz w:val="22"/>
                    </w:rPr>
                    <w:t>上游：预焙阳极市场</w:t>
                  </w:r>
                </w:p>
                <w:p w14:paraId="43358DC5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szCs w:val="24"/>
                    </w:rPr>
                  </w:pPr>
                  <w:r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  <w:t>下游：电解铝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sz w:val="22"/>
                    </w:rPr>
                    <w:t>市场</w:t>
                  </w:r>
                </w:p>
              </w:tc>
              <w:tc>
                <w:tcPr>
                  <w:tcW w:w="184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88C9362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sz w:val="22"/>
                    </w:rPr>
                    <w:t>中国境内</w:t>
                  </w:r>
                </w:p>
              </w:tc>
              <w:tc>
                <w:tcPr>
                  <w:tcW w:w="32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3FF081E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  <w:t>上游：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sz w:val="22"/>
                    </w:rPr>
                    <w:t>中国境内</w:t>
                  </w:r>
                  <w:r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  <w:t>预焙阳极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sz w:val="22"/>
                    </w:rPr>
                    <w:t>市场</w:t>
                  </w:r>
                </w:p>
                <w:p w14:paraId="29CBEDAC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  <w:t>索通发展：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sz w:val="22"/>
                    </w:rPr>
                    <w:t>10-15%</w:t>
                  </w:r>
                  <w:bookmarkStart w:id="0" w:name="_GoBack"/>
                  <w:bookmarkEnd w:id="0"/>
                </w:p>
                <w:p w14:paraId="4F9C9FC5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  <w:t>下游：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sz w:val="22"/>
                    </w:rPr>
                    <w:t>中国境内电解铝市场</w:t>
                  </w:r>
                </w:p>
                <w:p w14:paraId="46AA3AC2">
                  <w:pPr>
                    <w:adjustRightInd w:val="0"/>
                    <w:snapToGrid w:val="0"/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sz w:val="22"/>
                    </w:rPr>
                    <w:t>峰瓯贸易</w:t>
                  </w:r>
                  <w:r>
                    <w:rPr>
                      <w:rFonts w:ascii="Times New Roman" w:hAnsi="Times New Roman" w:eastAsia="宋体" w:cs="Times New Roman"/>
                      <w:bCs/>
                      <w:color w:val="000000"/>
                      <w:sz w:val="22"/>
                    </w:rPr>
                    <w:t>：0-5%</w:t>
                  </w:r>
                </w:p>
              </w:tc>
            </w:tr>
          </w:tbl>
          <w:p w14:paraId="1FCCC6FF">
            <w:pPr>
              <w:spacing w:after="120"/>
              <w:rPr>
                <w:rFonts w:ascii="Times New Roman" w:hAnsi="Times New Roman" w:eastAsia="宋体" w:cs="Times New Roman"/>
                <w:b/>
                <w:color w:val="000000"/>
                <w:sz w:val="22"/>
                <w:lang w:bidi="ar-AE"/>
              </w:rPr>
            </w:pPr>
          </w:p>
        </w:tc>
      </w:tr>
    </w:tbl>
    <w:p w14:paraId="6FBBE6B7">
      <w:pPr>
        <w:rPr>
          <w:rFonts w:hint="eastAsia"/>
        </w:rPr>
      </w:pPr>
    </w:p>
    <w:sectPr>
      <w:endnotePr>
        <w:numFmt w:val="decimal"/>
      </w:endnotePr>
      <w:pgSz w:w="11906" w:h="16838"/>
      <w:pgMar w:top="1984" w:right="1474" w:bottom="164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JkYmUyNTc0NDc4ZTg3ZjRhYjdiODJiMjQ4M2Y4Y2QifQ=="/>
  </w:docVars>
  <w:rsids>
    <w:rsidRoot w:val="009B5956"/>
    <w:rsid w:val="002060FC"/>
    <w:rsid w:val="00311DC2"/>
    <w:rsid w:val="005F34C4"/>
    <w:rsid w:val="006101DD"/>
    <w:rsid w:val="00672481"/>
    <w:rsid w:val="00755225"/>
    <w:rsid w:val="008A7184"/>
    <w:rsid w:val="0092671D"/>
    <w:rsid w:val="009B5956"/>
    <w:rsid w:val="009B7258"/>
    <w:rsid w:val="00D47ACF"/>
    <w:rsid w:val="2BBC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752</Words>
  <Characters>787</Characters>
  <Lines>6</Lines>
  <Paragraphs>1</Paragraphs>
  <TotalTime>3</TotalTime>
  <ScaleCrop>false</ScaleCrop>
  <LinksUpToDate>false</LinksUpToDate>
  <CharactersWithSpaces>793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2024-11-01T03:42:00Z</dcterms:created>
  <dc:creator>AnJie Broad</dc:creator>
  <cp:lastModifiedBy>AnJie Broad</cp:lastModifiedBy>
  <dcterms:modified xsi:type="dcterms:W3CDTF">2024-11-07T03:34:48Z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595984E1ED7B48898F074452B2F638AB_12</vt:lpwstr>
  </property>
</Properties>
</file>