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numPr>
          <w:ilvl w:val="0"/>
          <w:numId w:val="0"/>
        </w:numPr>
        <w:suppressLineNumbers w:val="0"/>
        <w:spacing w:line="600" w:lineRule="exact"/>
        <w:jc w:val="center"/>
        <w:rPr>
          <w:rFonts w:hint="default" w:ascii="Times New Roman" w:hAnsi="Times New Roman" w:eastAsia="方正小标宋简体" w:cs="Times New Roman"/>
          <w:b w:val="0"/>
          <w:bCs/>
          <w:i w:val="0"/>
          <w:caps w:val="0"/>
          <w:color w:val="000000"/>
          <w:spacing w:val="0"/>
          <w:kern w:val="2"/>
          <w:sz w:val="44"/>
          <w:szCs w:val="44"/>
          <w:shd w:val="clear" w:color="auto" w:fill="auto"/>
          <w:lang w:val="en-US" w:eastAsia="zh-CN" w:bidi="ar"/>
        </w:rPr>
      </w:pPr>
    </w:p>
    <w:p>
      <w:pPr>
        <w:widowControl/>
        <w:spacing w:after="240"/>
        <w:jc w:val="center"/>
        <w:rPr>
          <w:rFonts w:hint="default" w:ascii="Times New Roman" w:hAnsi="Times New Roman" w:eastAsia="黑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5"/>
        <w:gridCol w:w="1582"/>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65" w:type="dxa"/>
            <w:shd w:val="clear" w:color="auto" w:fill="CFCECE" w:themeFill="background2" w:themeFillShade="E5"/>
            <w:vAlign w:val="center"/>
          </w:tcPr>
          <w:p>
            <w:pPr>
              <w:pStyle w:val="7"/>
              <w:adjustRightInd w:val="0"/>
              <w:snapToGrid w:val="0"/>
              <w:spacing w:after="0"/>
              <w:jc w:val="center"/>
              <w:rPr>
                <w:b w:val="0"/>
                <w:bCs/>
                <w:color w:val="000000"/>
                <w:sz w:val="24"/>
                <w:szCs w:val="32"/>
              </w:rPr>
            </w:pPr>
            <w:r>
              <w:rPr>
                <w:b w:val="0"/>
                <w:bCs/>
                <w:color w:val="000000"/>
                <w:sz w:val="24"/>
                <w:szCs w:val="32"/>
              </w:rPr>
              <w:t>案件名称</w:t>
            </w:r>
          </w:p>
        </w:tc>
        <w:tc>
          <w:tcPr>
            <w:tcW w:w="7675" w:type="dxa"/>
            <w:gridSpan w:val="2"/>
            <w:vAlign w:val="center"/>
          </w:tcPr>
          <w:p>
            <w:pPr>
              <w:adjustRightInd w:val="0"/>
              <w:snapToGrid w:val="0"/>
              <w:rPr>
                <w:bCs/>
                <w:color w:val="000000"/>
                <w:sz w:val="24"/>
                <w:szCs w:val="32"/>
              </w:rPr>
            </w:pPr>
            <w:r>
              <w:rPr>
                <w:rFonts w:hint="eastAsia"/>
                <w:bCs/>
                <w:color w:val="000000"/>
                <w:sz w:val="24"/>
                <w:szCs w:val="32"/>
              </w:rPr>
              <w:t>东方汇理个人金融股份有限公司收购广州广汽融资租赁有限公司股权案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9" w:hRule="atLeast"/>
          <w:jc w:val="center"/>
        </w:trPr>
        <w:tc>
          <w:tcPr>
            <w:tcW w:w="1965" w:type="dxa"/>
            <w:shd w:val="clear" w:color="auto" w:fill="CFCECE" w:themeFill="background2" w:themeFillShade="E5"/>
            <w:vAlign w:val="center"/>
          </w:tcPr>
          <w:p>
            <w:pPr>
              <w:pStyle w:val="7"/>
              <w:adjustRightInd w:val="0"/>
              <w:snapToGrid w:val="0"/>
              <w:spacing w:after="0"/>
              <w:jc w:val="center"/>
              <w:rPr>
                <w:b w:val="0"/>
                <w:bCs/>
                <w:color w:val="000000"/>
                <w:sz w:val="24"/>
                <w:szCs w:val="32"/>
              </w:rPr>
            </w:pPr>
            <w:r>
              <w:rPr>
                <w:b w:val="0"/>
                <w:bCs/>
                <w:color w:val="000000"/>
                <w:sz w:val="24"/>
                <w:szCs w:val="32"/>
              </w:rPr>
              <w:t>交易概况</w:t>
            </w:r>
          </w:p>
        </w:tc>
        <w:tc>
          <w:tcPr>
            <w:tcW w:w="7675" w:type="dxa"/>
            <w:gridSpan w:val="2"/>
            <w:vAlign w:val="center"/>
          </w:tcPr>
          <w:p>
            <w:pPr>
              <w:adjustRightInd w:val="0"/>
              <w:snapToGrid w:val="0"/>
              <w:spacing w:before="156" w:beforeLines="50" w:after="156" w:afterLines="50"/>
              <w:rPr>
                <w:bCs/>
                <w:color w:val="000000"/>
                <w:sz w:val="24"/>
                <w:szCs w:val="32"/>
              </w:rPr>
            </w:pPr>
            <w:r>
              <w:rPr>
                <w:rFonts w:hint="eastAsia" w:ascii="Times" w:hAnsi="Times"/>
                <w:sz w:val="24"/>
                <w:szCs w:val="32"/>
              </w:rPr>
              <w:t>东方汇理个人金融股份有限公司（“东方汇理”）与广汽商贸有限公司（“广汽商贸”）、广州广汽融资租赁有限公司（“广汽融资租赁”）签署协议，东方汇理拟收购广汽融资租赁共计50%的</w:t>
            </w:r>
            <w:r>
              <w:rPr>
                <w:rFonts w:hint="eastAsia" w:ascii="Times" w:hAnsi="Times"/>
                <w:sz w:val="24"/>
                <w:szCs w:val="32"/>
                <w:lang w:val="en-US" w:eastAsia="zh-CN"/>
              </w:rPr>
              <w:t>股权</w:t>
            </w:r>
            <w:r>
              <w:rPr>
                <w:rFonts w:hint="eastAsia" w:ascii="Times" w:hAnsi="Times"/>
                <w:sz w:val="24"/>
                <w:szCs w:val="32"/>
              </w:rPr>
              <w:t>。广汽融资租赁主要从事汽车融资租赁服务</w:t>
            </w:r>
            <w:bookmarkStart w:id="0" w:name="_GoBack"/>
            <w:bookmarkEnd w:id="0"/>
            <w:r>
              <w:rPr>
                <w:rFonts w:hint="eastAsia" w:ascii="Times" w:hAnsi="Times"/>
                <w:sz w:val="24"/>
                <w:szCs w:val="32"/>
                <w:lang w:eastAsia="zh-CN"/>
              </w:rPr>
              <w:t>、</w:t>
            </w:r>
            <w:r>
              <w:rPr>
                <w:rFonts w:hint="eastAsia" w:ascii="Times" w:hAnsi="Times"/>
                <w:sz w:val="24"/>
                <w:szCs w:val="32"/>
                <w:lang w:val="en-US" w:eastAsia="zh-CN"/>
              </w:rPr>
              <w:t>汽车经营性租赁服务市场</w:t>
            </w:r>
            <w:r>
              <w:rPr>
                <w:rFonts w:hint="eastAsia" w:ascii="Times" w:hAnsi="Times"/>
                <w:sz w:val="24"/>
                <w:szCs w:val="32"/>
              </w:rPr>
              <w:t>。交易前，广汽商贸持有广汽融资租赁100%的</w:t>
            </w:r>
            <w:r>
              <w:rPr>
                <w:rFonts w:hint="eastAsia" w:ascii="Times" w:hAnsi="Times"/>
                <w:sz w:val="24"/>
                <w:szCs w:val="32"/>
                <w:lang w:val="en-US" w:eastAsia="zh-CN"/>
              </w:rPr>
              <w:t>股权</w:t>
            </w:r>
            <w:r>
              <w:rPr>
                <w:rFonts w:hint="eastAsia" w:ascii="Times" w:hAnsi="Times"/>
                <w:sz w:val="24"/>
                <w:szCs w:val="32"/>
              </w:rPr>
              <w:t>，单独控制广汽融资租赁。交易后，东方汇理、广汽商贸将分别持有广汽融资租赁50%的</w:t>
            </w:r>
            <w:r>
              <w:rPr>
                <w:rFonts w:hint="eastAsia" w:ascii="Times" w:hAnsi="Times"/>
                <w:sz w:val="24"/>
                <w:szCs w:val="32"/>
                <w:lang w:val="en-US" w:eastAsia="zh-CN"/>
              </w:rPr>
              <w:t>股权</w:t>
            </w:r>
            <w:r>
              <w:rPr>
                <w:rFonts w:hint="eastAsia" w:ascii="Times" w:hAnsi="Times"/>
                <w:sz w:val="24"/>
                <w:szCs w:val="32"/>
              </w:rPr>
              <w:t>，共同控制广汽融资租赁。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jc w:val="center"/>
        </w:trPr>
        <w:tc>
          <w:tcPr>
            <w:tcW w:w="1965" w:type="dxa"/>
            <w:vMerge w:val="restart"/>
            <w:shd w:val="clear" w:color="auto" w:fill="CFCECE" w:themeFill="background2" w:themeFillShade="E5"/>
            <w:vAlign w:val="center"/>
          </w:tcPr>
          <w:p>
            <w:pPr>
              <w:pStyle w:val="7"/>
              <w:adjustRightInd w:val="0"/>
              <w:snapToGrid w:val="0"/>
              <w:spacing w:after="0"/>
              <w:jc w:val="center"/>
              <w:rPr>
                <w:b w:val="0"/>
                <w:bCs/>
                <w:color w:val="000000"/>
                <w:sz w:val="24"/>
                <w:szCs w:val="32"/>
              </w:rPr>
            </w:pPr>
            <w:r>
              <w:rPr>
                <w:b w:val="0"/>
                <w:bCs/>
                <w:color w:val="000000"/>
                <w:sz w:val="24"/>
                <w:szCs w:val="32"/>
              </w:rPr>
              <w:t>参与集中的经营者简介</w:t>
            </w:r>
          </w:p>
        </w:tc>
        <w:tc>
          <w:tcPr>
            <w:tcW w:w="1582" w:type="dxa"/>
            <w:vAlign w:val="center"/>
          </w:tcPr>
          <w:p>
            <w:pPr>
              <w:pStyle w:val="7"/>
              <w:adjustRightInd w:val="0"/>
              <w:snapToGrid w:val="0"/>
              <w:spacing w:after="0"/>
              <w:rPr>
                <w:bCs/>
                <w:color w:val="000000"/>
                <w:sz w:val="24"/>
                <w:szCs w:val="32"/>
              </w:rPr>
            </w:pPr>
            <w:r>
              <w:rPr>
                <w:bCs/>
                <w:color w:val="000000"/>
                <w:sz w:val="24"/>
              </w:rPr>
              <w:t>1.</w:t>
            </w:r>
            <w:r>
              <w:rPr>
                <w:rFonts w:hint="eastAsia"/>
                <w:sz w:val="24"/>
              </w:rPr>
              <w:t xml:space="preserve"> </w:t>
            </w:r>
            <w:r>
              <w:rPr>
                <w:rFonts w:hint="eastAsia"/>
                <w:bCs/>
                <w:color w:val="000000"/>
                <w:sz w:val="24"/>
              </w:rPr>
              <w:t>东方汇理</w:t>
            </w:r>
          </w:p>
        </w:tc>
        <w:tc>
          <w:tcPr>
            <w:tcW w:w="6093" w:type="dxa"/>
            <w:vAlign w:val="center"/>
          </w:tcPr>
          <w:p>
            <w:pPr>
              <w:adjustRightInd w:val="0"/>
              <w:snapToGrid w:val="0"/>
              <w:rPr>
                <w:bCs/>
                <w:color w:val="000000"/>
                <w:sz w:val="24"/>
              </w:rPr>
            </w:pPr>
            <w:r>
              <w:rPr>
                <w:rFonts w:hint="eastAsia"/>
                <w:bCs/>
                <w:color w:val="000000"/>
                <w:sz w:val="24"/>
              </w:rPr>
              <w:t>东方汇理于1970年7月2日成立于法国，从事专业消费信贷和汽车融资业务。</w:t>
            </w:r>
          </w:p>
          <w:p>
            <w:pPr>
              <w:adjustRightInd w:val="0"/>
              <w:snapToGrid w:val="0"/>
              <w:rPr>
                <w:bCs/>
                <w:color w:val="000000"/>
                <w:sz w:val="24"/>
                <w:szCs w:val="32"/>
              </w:rPr>
            </w:pPr>
            <w:r>
              <w:rPr>
                <w:rFonts w:hint="eastAsia"/>
                <w:bCs/>
                <w:color w:val="000000"/>
                <w:sz w:val="24"/>
              </w:rPr>
              <w:t>东方汇理最终控制人为法国农业信贷银行（“法国农信银行”），主要提供银行和保险相关的服务。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1582" w:type="dxa"/>
            <w:vAlign w:val="center"/>
          </w:tcPr>
          <w:p>
            <w:pPr>
              <w:pStyle w:val="7"/>
              <w:adjustRightInd w:val="0"/>
              <w:snapToGrid w:val="0"/>
              <w:spacing w:after="0"/>
              <w:rPr>
                <w:bCs/>
                <w:color w:val="000000"/>
                <w:sz w:val="24"/>
                <w:szCs w:val="32"/>
              </w:rPr>
            </w:pPr>
            <w:r>
              <w:rPr>
                <w:bCs/>
                <w:color w:val="000000"/>
                <w:sz w:val="24"/>
              </w:rPr>
              <w:t>2.</w:t>
            </w:r>
            <w:r>
              <w:rPr>
                <w:rFonts w:hint="eastAsia"/>
                <w:sz w:val="24"/>
              </w:rPr>
              <w:t xml:space="preserve"> </w:t>
            </w:r>
            <w:r>
              <w:rPr>
                <w:rFonts w:hint="eastAsia"/>
                <w:bCs/>
                <w:color w:val="000000"/>
                <w:sz w:val="24"/>
              </w:rPr>
              <w:t>广汽商贸</w:t>
            </w:r>
          </w:p>
        </w:tc>
        <w:tc>
          <w:tcPr>
            <w:tcW w:w="6093" w:type="dxa"/>
            <w:vAlign w:val="center"/>
          </w:tcPr>
          <w:p>
            <w:pPr>
              <w:widowControl/>
              <w:adjustRightInd w:val="0"/>
              <w:snapToGrid w:val="0"/>
              <w:jc w:val="left"/>
              <w:rPr>
                <w:bCs/>
                <w:color w:val="000000"/>
                <w:kern w:val="0"/>
                <w:sz w:val="24"/>
                <w:lang w:bidi="ar-AE"/>
              </w:rPr>
            </w:pPr>
            <w:r>
              <w:rPr>
                <w:rFonts w:hint="eastAsia"/>
                <w:bCs/>
                <w:color w:val="000000"/>
                <w:kern w:val="0"/>
                <w:sz w:val="24"/>
                <w:lang w:bidi="ar-AE"/>
              </w:rPr>
              <w:t>广汽商贸于2000年3月21日成立于广东省广州市，主要业务包括汽车销售与售后市场服务、货物进出口、物流配送服务、环保及再生资源和相应配套服务。</w:t>
            </w:r>
          </w:p>
          <w:p>
            <w:pPr>
              <w:widowControl/>
              <w:adjustRightInd w:val="0"/>
              <w:snapToGrid w:val="0"/>
              <w:jc w:val="left"/>
              <w:rPr>
                <w:bCs/>
                <w:color w:val="000000"/>
                <w:sz w:val="24"/>
                <w:szCs w:val="32"/>
              </w:rPr>
            </w:pPr>
            <w:r>
              <w:rPr>
                <w:rFonts w:hint="eastAsia"/>
                <w:bCs/>
                <w:color w:val="000000"/>
                <w:kern w:val="0"/>
                <w:sz w:val="24"/>
                <w:lang w:bidi="ar-AE"/>
              </w:rPr>
              <w:t>广汽商贸最终控制人为广州汽车集团股份有限公司，主要业务包括研发、整车、零部件、商贸服务、金融出行等汽车完整产业链。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restart"/>
            <w:shd w:val="clear" w:color="auto" w:fill="CFCECE" w:themeFill="background2" w:themeFillShade="E5"/>
            <w:vAlign w:val="center"/>
          </w:tcPr>
          <w:p>
            <w:pPr>
              <w:pStyle w:val="7"/>
              <w:adjustRightInd w:val="0"/>
              <w:snapToGrid w:val="0"/>
              <w:spacing w:after="0"/>
              <w:jc w:val="center"/>
              <w:rPr>
                <w:b w:val="0"/>
                <w:bCs/>
                <w:color w:val="000000"/>
                <w:sz w:val="24"/>
                <w:szCs w:val="32"/>
              </w:rPr>
            </w:pPr>
            <w:r>
              <w:rPr>
                <w:b w:val="0"/>
                <w:bCs/>
                <w:color w:val="000000"/>
                <w:sz w:val="24"/>
                <w:szCs w:val="32"/>
              </w:rPr>
              <w:t>简易案件理由</w:t>
            </w: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A8"/>
            </w:r>
            <w:r>
              <w:rPr>
                <w:bCs/>
                <w:color w:val="000000"/>
                <w:sz w:val="24"/>
                <w:szCs w:val="3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A8"/>
            </w:r>
            <w:r>
              <w:rPr>
                <w:bCs/>
                <w:color w:val="000000"/>
                <w:sz w:val="24"/>
                <w:szCs w:val="3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FE"/>
            </w:r>
            <w:r>
              <w:rPr>
                <w:bCs/>
                <w:color w:val="000000"/>
                <w:sz w:val="24"/>
                <w:szCs w:val="3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A8"/>
            </w:r>
            <w:r>
              <w:rPr>
                <w:bCs/>
                <w:color w:val="000000"/>
                <w:sz w:val="24"/>
                <w:szCs w:val="3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A8"/>
            </w:r>
            <w:r>
              <w:rPr>
                <w:bCs/>
                <w:color w:val="000000"/>
                <w:sz w:val="24"/>
                <w:szCs w:val="3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1965" w:type="dxa"/>
            <w:vMerge w:val="continue"/>
            <w:shd w:val="clear" w:color="auto" w:fill="CFCECE" w:themeFill="background2" w:themeFillShade="E5"/>
            <w:vAlign w:val="center"/>
          </w:tcPr>
          <w:p>
            <w:pPr>
              <w:pStyle w:val="7"/>
              <w:adjustRightInd w:val="0"/>
              <w:snapToGrid w:val="0"/>
              <w:spacing w:after="0"/>
              <w:jc w:val="center"/>
              <w:rPr>
                <w:b w:val="0"/>
                <w:bCs/>
                <w:color w:val="000000"/>
                <w:sz w:val="24"/>
                <w:szCs w:val="32"/>
              </w:rPr>
            </w:pPr>
          </w:p>
        </w:tc>
        <w:tc>
          <w:tcPr>
            <w:tcW w:w="7675" w:type="dxa"/>
            <w:gridSpan w:val="2"/>
            <w:vAlign w:val="center"/>
          </w:tcPr>
          <w:p>
            <w:pPr>
              <w:pStyle w:val="7"/>
              <w:adjustRightInd w:val="0"/>
              <w:snapToGrid w:val="0"/>
              <w:spacing w:after="0"/>
              <w:rPr>
                <w:bCs/>
                <w:color w:val="000000"/>
                <w:sz w:val="24"/>
                <w:szCs w:val="32"/>
              </w:rPr>
            </w:pPr>
            <w:r>
              <w:rPr>
                <w:bCs/>
                <w:color w:val="000000"/>
                <w:sz w:val="24"/>
                <w:szCs w:val="32"/>
              </w:rPr>
              <w:sym w:font="Wingdings" w:char="00A8"/>
            </w:r>
            <w:r>
              <w:rPr>
                <w:bCs/>
                <w:color w:val="000000"/>
                <w:sz w:val="24"/>
                <w:szCs w:val="3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0" w:hRule="atLeast"/>
          <w:jc w:val="center"/>
        </w:trPr>
        <w:tc>
          <w:tcPr>
            <w:tcW w:w="1965" w:type="dxa"/>
            <w:shd w:val="clear" w:color="auto" w:fill="CFCECE" w:themeFill="background2" w:themeFillShade="E5"/>
            <w:vAlign w:val="center"/>
          </w:tcPr>
          <w:p>
            <w:pPr>
              <w:pStyle w:val="7"/>
              <w:keepNext w:val="0"/>
              <w:keepLines w:val="0"/>
              <w:pageBreakBefore w:val="0"/>
              <w:kinsoku/>
              <w:wordWrap/>
              <w:overflowPunct/>
              <w:topLinePunct w:val="0"/>
              <w:autoSpaceDE/>
              <w:autoSpaceDN/>
              <w:bidi w:val="0"/>
              <w:adjustRightInd w:val="0"/>
              <w:snapToGrid w:val="0"/>
              <w:spacing w:after="0" w:line="320" w:lineRule="exact"/>
              <w:jc w:val="center"/>
              <w:textAlignment w:val="auto"/>
              <w:rPr>
                <w:b w:val="0"/>
                <w:bCs/>
                <w:color w:val="000000"/>
                <w:sz w:val="24"/>
                <w:szCs w:val="32"/>
              </w:rPr>
            </w:pPr>
            <w:r>
              <w:rPr>
                <w:b w:val="0"/>
                <w:bCs/>
                <w:color w:val="000000"/>
                <w:sz w:val="24"/>
                <w:szCs w:val="32"/>
              </w:rPr>
              <w:t>备注</w:t>
            </w:r>
          </w:p>
        </w:tc>
        <w:tc>
          <w:tcPr>
            <w:tcW w:w="7675" w:type="dxa"/>
            <w:gridSpan w:val="2"/>
            <w:vAlign w:val="center"/>
          </w:tcPr>
          <w:p>
            <w:pPr>
              <w:keepNext w:val="0"/>
              <w:keepLines w:val="0"/>
              <w:pageBreakBefore w:val="0"/>
              <w:widowControl/>
              <w:kinsoku/>
              <w:wordWrap/>
              <w:overflowPunct/>
              <w:topLinePunct w:val="0"/>
              <w:autoSpaceDE/>
              <w:autoSpaceDN/>
              <w:bidi w:val="0"/>
              <w:spacing w:line="320" w:lineRule="exact"/>
              <w:textAlignment w:val="auto"/>
              <w:rPr>
                <w:rFonts w:eastAsiaTheme="minorEastAsia"/>
                <w:b/>
                <w:bCs/>
                <w:kern w:val="0"/>
                <w:sz w:val="24"/>
                <w:lang w:bidi="ar-AE"/>
              </w:rPr>
            </w:pPr>
            <w:r>
              <w:rPr>
                <w:rFonts w:eastAsiaTheme="minorEastAsia"/>
                <w:b/>
                <w:bCs/>
                <w:kern w:val="0"/>
                <w:sz w:val="24"/>
                <w:lang w:bidi="ar-AE"/>
              </w:rPr>
              <w:t>混合集中：</w:t>
            </w:r>
          </w:p>
          <w:p>
            <w:pPr>
              <w:pStyle w:val="2"/>
              <w:keepNext w:val="0"/>
              <w:keepLines w:val="0"/>
              <w:pageBreakBefore w:val="0"/>
              <w:kinsoku/>
              <w:wordWrap/>
              <w:overflowPunct/>
              <w:topLinePunct w:val="0"/>
              <w:autoSpaceDE/>
              <w:autoSpaceDN/>
              <w:bidi w:val="0"/>
              <w:spacing w:line="320" w:lineRule="exact"/>
              <w:textAlignment w:val="auto"/>
              <w:rPr>
                <w:bCs/>
                <w:color w:val="000000"/>
                <w:sz w:val="24"/>
              </w:rPr>
            </w:pPr>
            <w:r>
              <w:rPr>
                <w:rFonts w:hint="eastAsia"/>
                <w:bCs/>
                <w:color w:val="000000"/>
                <w:sz w:val="24"/>
              </w:rPr>
              <w:t>2023年中国境内汽车融资租赁服务市场：</w:t>
            </w:r>
          </w:p>
          <w:p>
            <w:pPr>
              <w:pStyle w:val="2"/>
              <w:keepNext w:val="0"/>
              <w:keepLines w:val="0"/>
              <w:pageBreakBefore w:val="0"/>
              <w:kinsoku/>
              <w:wordWrap/>
              <w:overflowPunct/>
              <w:topLinePunct w:val="0"/>
              <w:autoSpaceDE/>
              <w:autoSpaceDN/>
              <w:bidi w:val="0"/>
              <w:spacing w:line="320" w:lineRule="exact"/>
              <w:textAlignment w:val="auto"/>
              <w:rPr>
                <w:bCs/>
                <w:color w:val="000000"/>
                <w:sz w:val="24"/>
              </w:rPr>
            </w:pPr>
            <w:r>
              <w:rPr>
                <w:rFonts w:hint="eastAsia"/>
                <w:bCs/>
                <w:color w:val="000000"/>
                <w:sz w:val="24"/>
              </w:rPr>
              <w:t>广汽融资租赁：0-5%</w:t>
            </w:r>
          </w:p>
          <w:p>
            <w:pPr>
              <w:pStyle w:val="2"/>
              <w:keepNext w:val="0"/>
              <w:keepLines w:val="0"/>
              <w:pageBreakBefore w:val="0"/>
              <w:kinsoku/>
              <w:wordWrap/>
              <w:overflowPunct/>
              <w:topLinePunct w:val="0"/>
              <w:autoSpaceDE/>
              <w:autoSpaceDN/>
              <w:bidi w:val="0"/>
              <w:spacing w:line="320" w:lineRule="exact"/>
              <w:textAlignment w:val="auto"/>
              <w:rPr>
                <w:bCs/>
                <w:color w:val="000000"/>
                <w:sz w:val="24"/>
              </w:rPr>
            </w:pPr>
            <w:r>
              <w:rPr>
                <w:rFonts w:hint="eastAsia"/>
                <w:bCs/>
                <w:color w:val="000000"/>
                <w:sz w:val="24"/>
              </w:rPr>
              <w:t>2023年中国境内汽车经营性租赁服务市场：</w:t>
            </w:r>
          </w:p>
          <w:p>
            <w:pPr>
              <w:keepNext w:val="0"/>
              <w:keepLines w:val="0"/>
              <w:pageBreakBefore w:val="0"/>
              <w:kinsoku/>
              <w:wordWrap/>
              <w:overflowPunct/>
              <w:topLinePunct w:val="0"/>
              <w:autoSpaceDE/>
              <w:autoSpaceDN/>
              <w:bidi w:val="0"/>
              <w:spacing w:line="320" w:lineRule="exact"/>
              <w:textAlignment w:val="auto"/>
              <w:rPr>
                <w:sz w:val="24"/>
                <w:szCs w:val="32"/>
              </w:rPr>
            </w:pPr>
            <w:r>
              <w:rPr>
                <w:rFonts w:hint="eastAsia"/>
                <w:bCs/>
                <w:color w:val="000000"/>
                <w:sz w:val="24"/>
              </w:rPr>
              <w:t>广汽融资租赁：0-5%</w:t>
            </w: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Times">
    <w:altName w:val="Times New Roman"/>
    <w:panose1 w:val="02020603050405020304"/>
    <w:charset w:val="00"/>
    <w:family w:val="roman"/>
    <w:pitch w:val="default"/>
    <w:sig w:usb0="00000000" w:usb1="00000000" w:usb2="00000008" w:usb3="00000000" w:csb0="000001FF"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E80370"/>
    <w:rsid w:val="00F63099"/>
    <w:rsid w:val="00F7053E"/>
    <w:rsid w:val="00F90810"/>
    <w:rsid w:val="00FD5EA5"/>
    <w:rsid w:val="00FF42DD"/>
    <w:rsid w:val="011DF4EB"/>
    <w:rsid w:val="01B165CE"/>
    <w:rsid w:val="020779C8"/>
    <w:rsid w:val="0217304F"/>
    <w:rsid w:val="02515359"/>
    <w:rsid w:val="02D87E36"/>
    <w:rsid w:val="02F70103"/>
    <w:rsid w:val="030806B1"/>
    <w:rsid w:val="03490091"/>
    <w:rsid w:val="03D70EC9"/>
    <w:rsid w:val="0492696D"/>
    <w:rsid w:val="04B425C4"/>
    <w:rsid w:val="04B85AFF"/>
    <w:rsid w:val="05AB50DB"/>
    <w:rsid w:val="06075F29"/>
    <w:rsid w:val="072729B8"/>
    <w:rsid w:val="07D6476B"/>
    <w:rsid w:val="087232C3"/>
    <w:rsid w:val="08D6542E"/>
    <w:rsid w:val="08ED34FD"/>
    <w:rsid w:val="093446A7"/>
    <w:rsid w:val="09E21081"/>
    <w:rsid w:val="0AF22185"/>
    <w:rsid w:val="0B1835C3"/>
    <w:rsid w:val="0B63273E"/>
    <w:rsid w:val="0BD91CE7"/>
    <w:rsid w:val="0C554F7A"/>
    <w:rsid w:val="0C6B60D7"/>
    <w:rsid w:val="0D1F1C05"/>
    <w:rsid w:val="0DE526A7"/>
    <w:rsid w:val="0E5C7E9D"/>
    <w:rsid w:val="0EEC791B"/>
    <w:rsid w:val="0F272A69"/>
    <w:rsid w:val="0F2B249C"/>
    <w:rsid w:val="0FA436B7"/>
    <w:rsid w:val="0FBBC6D8"/>
    <w:rsid w:val="0FCA58AB"/>
    <w:rsid w:val="10C02711"/>
    <w:rsid w:val="11D03D09"/>
    <w:rsid w:val="12ED74AA"/>
    <w:rsid w:val="130B6D76"/>
    <w:rsid w:val="13236AF1"/>
    <w:rsid w:val="13D6674E"/>
    <w:rsid w:val="148B0637"/>
    <w:rsid w:val="150C1E94"/>
    <w:rsid w:val="15D94F21"/>
    <w:rsid w:val="15E47716"/>
    <w:rsid w:val="164E6A70"/>
    <w:rsid w:val="1680064E"/>
    <w:rsid w:val="170576D4"/>
    <w:rsid w:val="17436509"/>
    <w:rsid w:val="19533EE7"/>
    <w:rsid w:val="199476C8"/>
    <w:rsid w:val="1A9B628C"/>
    <w:rsid w:val="1AA11230"/>
    <w:rsid w:val="1AEB0D31"/>
    <w:rsid w:val="1B2D6269"/>
    <w:rsid w:val="1BF9394B"/>
    <w:rsid w:val="1BF9AB71"/>
    <w:rsid w:val="1C361957"/>
    <w:rsid w:val="1CC31397"/>
    <w:rsid w:val="1D8B4DA1"/>
    <w:rsid w:val="1DA24124"/>
    <w:rsid w:val="1DFE30C6"/>
    <w:rsid w:val="1F2073B8"/>
    <w:rsid w:val="1FC81833"/>
    <w:rsid w:val="1FE72BC6"/>
    <w:rsid w:val="20815B54"/>
    <w:rsid w:val="20C2797E"/>
    <w:rsid w:val="215B059A"/>
    <w:rsid w:val="21BD7D11"/>
    <w:rsid w:val="22151D28"/>
    <w:rsid w:val="24606B41"/>
    <w:rsid w:val="246736EB"/>
    <w:rsid w:val="24840815"/>
    <w:rsid w:val="24BE4747"/>
    <w:rsid w:val="25C17900"/>
    <w:rsid w:val="261144B9"/>
    <w:rsid w:val="27B435B3"/>
    <w:rsid w:val="27ED6C10"/>
    <w:rsid w:val="281C288D"/>
    <w:rsid w:val="283265FA"/>
    <w:rsid w:val="28361ADD"/>
    <w:rsid w:val="289A6D28"/>
    <w:rsid w:val="2B795B9C"/>
    <w:rsid w:val="2C0C7CCC"/>
    <w:rsid w:val="2CAC25FF"/>
    <w:rsid w:val="2D0217A7"/>
    <w:rsid w:val="2D522E91"/>
    <w:rsid w:val="2DE926AB"/>
    <w:rsid w:val="2DFF8C0F"/>
    <w:rsid w:val="2ECF569F"/>
    <w:rsid w:val="2F0902B7"/>
    <w:rsid w:val="3025112D"/>
    <w:rsid w:val="306F1D95"/>
    <w:rsid w:val="31687D65"/>
    <w:rsid w:val="319E78FD"/>
    <w:rsid w:val="33291F9F"/>
    <w:rsid w:val="332B297E"/>
    <w:rsid w:val="339B1A7D"/>
    <w:rsid w:val="33E34AE7"/>
    <w:rsid w:val="341C1B03"/>
    <w:rsid w:val="34390907"/>
    <w:rsid w:val="34527864"/>
    <w:rsid w:val="356065C1"/>
    <w:rsid w:val="35741F7B"/>
    <w:rsid w:val="35927D49"/>
    <w:rsid w:val="35AA4056"/>
    <w:rsid w:val="36647739"/>
    <w:rsid w:val="36722108"/>
    <w:rsid w:val="36A67819"/>
    <w:rsid w:val="37736187"/>
    <w:rsid w:val="37EC4B4C"/>
    <w:rsid w:val="3A7D25F4"/>
    <w:rsid w:val="3B6C128B"/>
    <w:rsid w:val="3BF42FA2"/>
    <w:rsid w:val="3C1B3849"/>
    <w:rsid w:val="3DBE0E38"/>
    <w:rsid w:val="3DCF2C73"/>
    <w:rsid w:val="3E3B322A"/>
    <w:rsid w:val="3EB7365E"/>
    <w:rsid w:val="3EBE2D3F"/>
    <w:rsid w:val="3ED7D01C"/>
    <w:rsid w:val="3EE73D98"/>
    <w:rsid w:val="3FFFF7A9"/>
    <w:rsid w:val="40D7777E"/>
    <w:rsid w:val="40E3190E"/>
    <w:rsid w:val="4129118D"/>
    <w:rsid w:val="41D779C0"/>
    <w:rsid w:val="436E421B"/>
    <w:rsid w:val="43E353FE"/>
    <w:rsid w:val="443B7D84"/>
    <w:rsid w:val="45A801C9"/>
    <w:rsid w:val="45E92E66"/>
    <w:rsid w:val="46845245"/>
    <w:rsid w:val="46F216C3"/>
    <w:rsid w:val="48247180"/>
    <w:rsid w:val="48567BBA"/>
    <w:rsid w:val="48604985"/>
    <w:rsid w:val="48C332AF"/>
    <w:rsid w:val="4927086C"/>
    <w:rsid w:val="49857111"/>
    <w:rsid w:val="498A72A0"/>
    <w:rsid w:val="4B44740D"/>
    <w:rsid w:val="4C824703"/>
    <w:rsid w:val="4CC01CF8"/>
    <w:rsid w:val="4CFD75DE"/>
    <w:rsid w:val="4D022B50"/>
    <w:rsid w:val="4D533669"/>
    <w:rsid w:val="4D611881"/>
    <w:rsid w:val="4DB67BAD"/>
    <w:rsid w:val="4DBF710D"/>
    <w:rsid w:val="4E585190"/>
    <w:rsid w:val="4E626EA5"/>
    <w:rsid w:val="4F7D0643"/>
    <w:rsid w:val="505C355C"/>
    <w:rsid w:val="50CB3BDA"/>
    <w:rsid w:val="511505E7"/>
    <w:rsid w:val="5275657D"/>
    <w:rsid w:val="53701092"/>
    <w:rsid w:val="53DE53F7"/>
    <w:rsid w:val="549363D0"/>
    <w:rsid w:val="54A03EDC"/>
    <w:rsid w:val="54D26C3D"/>
    <w:rsid w:val="54DD7AC9"/>
    <w:rsid w:val="55413F6A"/>
    <w:rsid w:val="556C3BF9"/>
    <w:rsid w:val="558A3AEC"/>
    <w:rsid w:val="55FF4F39"/>
    <w:rsid w:val="563C0C84"/>
    <w:rsid w:val="567C47AD"/>
    <w:rsid w:val="568C7EFA"/>
    <w:rsid w:val="5721053D"/>
    <w:rsid w:val="59206465"/>
    <w:rsid w:val="59927FEE"/>
    <w:rsid w:val="599B7F54"/>
    <w:rsid w:val="59D80FE8"/>
    <w:rsid w:val="5A320350"/>
    <w:rsid w:val="5A4E1134"/>
    <w:rsid w:val="5A8F5421"/>
    <w:rsid w:val="5AAB1367"/>
    <w:rsid w:val="5AB377AC"/>
    <w:rsid w:val="5ADB7A9F"/>
    <w:rsid w:val="5BDF7AA8"/>
    <w:rsid w:val="5CC770F3"/>
    <w:rsid w:val="5DE93B9C"/>
    <w:rsid w:val="5DFF5221"/>
    <w:rsid w:val="5E606197"/>
    <w:rsid w:val="5E758AD3"/>
    <w:rsid w:val="5E872C42"/>
    <w:rsid w:val="5ED82947"/>
    <w:rsid w:val="5EFFEB53"/>
    <w:rsid w:val="5F3A59C0"/>
    <w:rsid w:val="5F3C2655"/>
    <w:rsid w:val="5F4C72AD"/>
    <w:rsid w:val="5F5B3889"/>
    <w:rsid w:val="5F7404E1"/>
    <w:rsid w:val="60B85CFA"/>
    <w:rsid w:val="61AC7C2D"/>
    <w:rsid w:val="61F32521"/>
    <w:rsid w:val="62FE2ACC"/>
    <w:rsid w:val="63CE0698"/>
    <w:rsid w:val="63F6661D"/>
    <w:rsid w:val="64990483"/>
    <w:rsid w:val="64F94FB6"/>
    <w:rsid w:val="64FF0119"/>
    <w:rsid w:val="650C61D5"/>
    <w:rsid w:val="65183212"/>
    <w:rsid w:val="654F569B"/>
    <w:rsid w:val="65AC0421"/>
    <w:rsid w:val="65C94540"/>
    <w:rsid w:val="67090219"/>
    <w:rsid w:val="67532E54"/>
    <w:rsid w:val="6754015D"/>
    <w:rsid w:val="676B6497"/>
    <w:rsid w:val="677B0DDC"/>
    <w:rsid w:val="67885F66"/>
    <w:rsid w:val="67D469E8"/>
    <w:rsid w:val="67DB7BB9"/>
    <w:rsid w:val="685D233B"/>
    <w:rsid w:val="68E175B6"/>
    <w:rsid w:val="68ED6FEF"/>
    <w:rsid w:val="69C0748D"/>
    <w:rsid w:val="6A7D30C3"/>
    <w:rsid w:val="6ABB6FCD"/>
    <w:rsid w:val="6B9261CD"/>
    <w:rsid w:val="6B9A71CB"/>
    <w:rsid w:val="6BCB1BF4"/>
    <w:rsid w:val="6BCC0CB3"/>
    <w:rsid w:val="6C45316D"/>
    <w:rsid w:val="6CBF87B4"/>
    <w:rsid w:val="6DC30C82"/>
    <w:rsid w:val="6DEFBAE0"/>
    <w:rsid w:val="6E372E5F"/>
    <w:rsid w:val="6E3FE820"/>
    <w:rsid w:val="6E786ABC"/>
    <w:rsid w:val="6E954194"/>
    <w:rsid w:val="6EBE3907"/>
    <w:rsid w:val="6F538C10"/>
    <w:rsid w:val="6FDF5799"/>
    <w:rsid w:val="710A7485"/>
    <w:rsid w:val="71394751"/>
    <w:rsid w:val="71402523"/>
    <w:rsid w:val="72131803"/>
    <w:rsid w:val="723024E6"/>
    <w:rsid w:val="73026B48"/>
    <w:rsid w:val="74566BED"/>
    <w:rsid w:val="74CE550B"/>
    <w:rsid w:val="74FA9F2D"/>
    <w:rsid w:val="753A327A"/>
    <w:rsid w:val="755F49C7"/>
    <w:rsid w:val="767FE0B3"/>
    <w:rsid w:val="76AFBFF1"/>
    <w:rsid w:val="76CA40F3"/>
    <w:rsid w:val="77527FDF"/>
    <w:rsid w:val="77AFF4F6"/>
    <w:rsid w:val="77F8CDED"/>
    <w:rsid w:val="77FF6A8C"/>
    <w:rsid w:val="77FFCFC3"/>
    <w:rsid w:val="78410251"/>
    <w:rsid w:val="793FB7A1"/>
    <w:rsid w:val="7A66B182"/>
    <w:rsid w:val="7A9C06E1"/>
    <w:rsid w:val="7AB91678"/>
    <w:rsid w:val="7B8F578C"/>
    <w:rsid w:val="7B9A66EF"/>
    <w:rsid w:val="7BAB6FC2"/>
    <w:rsid w:val="7BE411F0"/>
    <w:rsid w:val="7BFFD823"/>
    <w:rsid w:val="7C235B45"/>
    <w:rsid w:val="7C7918BC"/>
    <w:rsid w:val="7CCB66D7"/>
    <w:rsid w:val="7D6F58DB"/>
    <w:rsid w:val="7DCE664D"/>
    <w:rsid w:val="7EE72273"/>
    <w:rsid w:val="7EF16FA7"/>
    <w:rsid w:val="7EF7CDD2"/>
    <w:rsid w:val="7F23145A"/>
    <w:rsid w:val="7F7BEB9D"/>
    <w:rsid w:val="7FBF2495"/>
    <w:rsid w:val="7FDCAB43"/>
    <w:rsid w:val="7FE15510"/>
    <w:rsid w:val="7FE91E78"/>
    <w:rsid w:val="7FF500C7"/>
    <w:rsid w:val="7FFDE69B"/>
    <w:rsid w:val="9CBD0B1A"/>
    <w:rsid w:val="A7F9C1DE"/>
    <w:rsid w:val="A9AD231D"/>
    <w:rsid w:val="ADFAC79E"/>
    <w:rsid w:val="AE7E1E17"/>
    <w:rsid w:val="B593FB7D"/>
    <w:rsid w:val="B9B92832"/>
    <w:rsid w:val="BCB7048F"/>
    <w:rsid w:val="BCF89F06"/>
    <w:rsid w:val="BEAF73DD"/>
    <w:rsid w:val="BF8E36EE"/>
    <w:rsid w:val="BFDFB85E"/>
    <w:rsid w:val="BFF739EC"/>
    <w:rsid w:val="C3F5BA26"/>
    <w:rsid w:val="D5DB8D8A"/>
    <w:rsid w:val="DDEFBA43"/>
    <w:rsid w:val="DEAFB90F"/>
    <w:rsid w:val="DF21B821"/>
    <w:rsid w:val="DFD76A11"/>
    <w:rsid w:val="E7FFE685"/>
    <w:rsid w:val="E9F71F09"/>
    <w:rsid w:val="EAFD8D58"/>
    <w:rsid w:val="EB6C770B"/>
    <w:rsid w:val="EBCD181E"/>
    <w:rsid w:val="EFFFDD70"/>
    <w:rsid w:val="F1B778F1"/>
    <w:rsid w:val="F3FF350A"/>
    <w:rsid w:val="F3FF743F"/>
    <w:rsid w:val="F4FF55F7"/>
    <w:rsid w:val="F7EFF966"/>
    <w:rsid w:val="F7FD911C"/>
    <w:rsid w:val="F9DF2CA6"/>
    <w:rsid w:val="FB3326CC"/>
    <w:rsid w:val="FBCE4D19"/>
    <w:rsid w:val="FBFE1D07"/>
    <w:rsid w:val="FDBF10AA"/>
    <w:rsid w:val="FE5FA0A2"/>
    <w:rsid w:val="FEAEC70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773</Words>
  <Characters>807</Characters>
  <Lines>1</Lines>
  <Paragraphs>1</Paragraphs>
  <TotalTime>2</TotalTime>
  <ScaleCrop>false</ScaleCrop>
  <LinksUpToDate>false</LinksUpToDate>
  <CharactersWithSpaces>815</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2023-02-26T01:34:00Z</dcterms:created>
  <dc:creator>张斌（反垄断处）</dc:creator>
  <cp:lastModifiedBy>邱伟</cp:lastModifiedBy>
  <cp:lastPrinted>2024-07-31T09:27:00Z</cp:lastPrinted>
  <dcterms:modified xsi:type="dcterms:W3CDTF">2024-11-18T09:15:48Z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