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line="594" w:lineRule="exact"/>
        <w:jc w:val="center"/>
        <w:rPr>
          <w:rFonts w:hint="eastAsia" w:ascii="黑体" w:hAnsi="黑体" w:eastAsia="黑体" w:cs="黑体"/>
          <w:bCs/>
          <w:kern w:val="0"/>
          <w:sz w:val="36"/>
          <w:szCs w:val="36"/>
          <w:lang w:val="en-GB" w:bidi="ar-AE"/>
        </w:rPr>
      </w:pPr>
      <w:r>
        <w:rPr>
          <w:rFonts w:hint="eastAsia" w:ascii="黑体" w:hAnsi="黑体" w:eastAsia="黑体" w:cs="黑体"/>
          <w:bCs/>
          <w:kern w:val="0"/>
          <w:sz w:val="36"/>
          <w:szCs w:val="36"/>
          <w:lang w:val="en-GB" w:bidi="ar-AE"/>
        </w:rPr>
        <w:t>经营者集中简易案件公示表</w:t>
      </w:r>
    </w:p>
    <w:tbl>
      <w:tblPr>
        <w:tblStyle w:val="12"/>
        <w:tblW w:w="97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1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noWrap w:val="0"/>
            <w:vAlign w:val="center"/>
          </w:tcPr>
          <w:p>
            <w:pPr>
              <w:pStyle w:val="2"/>
              <w:adjustRightInd w:val="0"/>
              <w:snapToGrid w:val="0"/>
              <w:spacing w:after="0"/>
              <w:jc w:val="center"/>
              <w:rPr>
                <w:rFonts w:hint="eastAsia" w:ascii="宋体" w:hAnsi="宋体" w:eastAsia="宋体" w:cs="宋体"/>
                <w:bCs/>
                <w:color w:val="000000"/>
                <w:sz w:val="24"/>
                <w:szCs w:val="24"/>
                <w:lang w:val="en-US"/>
              </w:rPr>
            </w:pPr>
            <w:r>
              <w:rPr>
                <w:rFonts w:hint="eastAsia" w:ascii="宋体" w:hAnsi="宋体" w:eastAsia="宋体" w:cs="宋体"/>
                <w:bCs/>
                <w:color w:val="000000"/>
                <w:sz w:val="24"/>
                <w:szCs w:val="24"/>
              </w:rPr>
              <w:t>案件名称</w:t>
            </w:r>
          </w:p>
        </w:tc>
        <w:tc>
          <w:tcPr>
            <w:tcW w:w="7783" w:type="dxa"/>
            <w:gridSpan w:val="2"/>
            <w:noWrap w:val="0"/>
            <w:vAlign w:val="center"/>
          </w:tcPr>
          <w:p>
            <w:pPr>
              <w:widowControl/>
              <w:adjustRightInd w:val="0"/>
              <w:snapToGrid w:val="0"/>
              <w:rPr>
                <w:rFonts w:hint="eastAsia"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广州珠实地产有限公司与广州市城投发展控股有限公司等经营者新设合营企业案</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40" w:type="dxa"/>
            <w:shd w:val="clear" w:color="auto" w:fill="D9D9D9"/>
            <w:noWrap w:val="0"/>
            <w:vAlign w:val="center"/>
          </w:tcPr>
          <w:p>
            <w:pPr>
              <w:pStyle w:val="2"/>
              <w:adjustRightInd w:val="0"/>
              <w:snapToGrid w:val="0"/>
              <w:spacing w:after="0"/>
              <w:jc w:val="center"/>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lang w:eastAsia="zh-CN"/>
              </w:rPr>
              <w:t>交易概况</w:t>
            </w:r>
          </w:p>
        </w:tc>
        <w:tc>
          <w:tcPr>
            <w:tcW w:w="7783" w:type="dxa"/>
            <w:gridSpan w:val="2"/>
            <w:noWrap w:val="0"/>
            <w:vAlign w:val="center"/>
          </w:tcPr>
          <w:p>
            <w:pPr>
              <w:adjustRightInd w:val="0"/>
              <w:snapToGrid w:val="0"/>
              <w:rPr>
                <w:rFonts w:hint="eastAsia"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广州珠实地产有限公司（“珠实</w:t>
            </w:r>
            <w:r>
              <w:rPr>
                <w:rFonts w:hint="eastAsia" w:ascii="宋体" w:hAnsi="宋体" w:eastAsia="宋体" w:cs="宋体"/>
                <w:bCs/>
                <w:color w:val="000000"/>
                <w:kern w:val="0"/>
                <w:sz w:val="24"/>
                <w:szCs w:val="24"/>
                <w:lang w:val="en-US" w:eastAsia="zh-CN" w:bidi="ar-AE"/>
              </w:rPr>
              <w:t>地产</w:t>
            </w:r>
            <w:r>
              <w:rPr>
                <w:rFonts w:hint="eastAsia" w:ascii="宋体" w:hAnsi="宋体" w:eastAsia="宋体" w:cs="宋体"/>
                <w:bCs/>
                <w:color w:val="000000"/>
                <w:kern w:val="0"/>
                <w:sz w:val="24"/>
                <w:szCs w:val="24"/>
                <w:lang w:bidi="ar-AE"/>
              </w:rPr>
              <w:t>”）、广州市城投发展控股有限公司（“城投发展”）、广东省润投咨询有限公司（“润投咨询”）、广州南沙交通投资集团有限公司（“南沙交投”）签署协议，新设合营企业。合营企业拟在广州市内从事商品房开发和销售业务。交易后，珠实</w:t>
            </w:r>
            <w:r>
              <w:rPr>
                <w:rFonts w:hint="eastAsia" w:ascii="宋体" w:hAnsi="宋体" w:eastAsia="宋体" w:cs="宋体"/>
                <w:bCs/>
                <w:color w:val="000000"/>
                <w:kern w:val="0"/>
                <w:sz w:val="24"/>
                <w:szCs w:val="24"/>
                <w:lang w:val="en-US" w:eastAsia="zh-CN" w:bidi="ar-AE"/>
              </w:rPr>
              <w:t>地产</w:t>
            </w:r>
            <w:r>
              <w:rPr>
                <w:rFonts w:hint="eastAsia" w:ascii="宋体" w:hAnsi="宋体" w:eastAsia="宋体" w:cs="宋体"/>
                <w:bCs/>
                <w:color w:val="000000"/>
                <w:kern w:val="0"/>
                <w:sz w:val="24"/>
                <w:szCs w:val="24"/>
                <w:lang w:bidi="ar-AE"/>
              </w:rPr>
              <w:t>、城投发展、润投咨询、南沙交投将分别持有合营企业50%、30%、10%、10%的股份，共同控制合营企业。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4" w:hRule="atLeast"/>
          <w:jc w:val="center"/>
        </w:trPr>
        <w:tc>
          <w:tcPr>
            <w:tcW w:w="1940" w:type="dxa"/>
            <w:vMerge w:val="restart"/>
            <w:shd w:val="clear" w:color="auto" w:fill="D9D9D9"/>
            <w:noWrap w:val="0"/>
            <w:vAlign w:val="center"/>
          </w:tcPr>
          <w:p>
            <w:pPr>
              <w:pStyle w:val="2"/>
              <w:adjustRightInd w:val="0"/>
              <w:snapToGrid w:val="0"/>
              <w:spacing w:after="0"/>
              <w:jc w:val="center"/>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lang w:eastAsia="zh-CN"/>
              </w:rPr>
              <w:t>参与集中的经营者简介</w:t>
            </w:r>
          </w:p>
        </w:tc>
        <w:tc>
          <w:tcPr>
            <w:tcW w:w="1607" w:type="dxa"/>
            <w:noWrap w:val="0"/>
            <w:vAlign w:val="center"/>
          </w:tcPr>
          <w:p>
            <w:pPr>
              <w:pStyle w:val="2"/>
              <w:adjustRightInd w:val="0"/>
              <w:snapToGrid w:val="0"/>
              <w:spacing w:after="0"/>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lang w:val="en-US" w:eastAsia="zh-CN"/>
              </w:rPr>
              <w:t>1.</w:t>
            </w:r>
            <w:r>
              <w:rPr>
                <w:rFonts w:hint="eastAsia" w:ascii="宋体" w:hAnsi="宋体" w:eastAsia="宋体" w:cs="宋体"/>
                <w:bCs/>
                <w:color w:val="000000"/>
                <w:sz w:val="24"/>
                <w:szCs w:val="24"/>
                <w:lang w:eastAsia="zh-CN"/>
              </w:rPr>
              <w:t>珠实</w:t>
            </w:r>
            <w:r>
              <w:rPr>
                <w:rFonts w:hint="eastAsia" w:ascii="宋体" w:hAnsi="宋体" w:eastAsia="宋体" w:cs="宋体"/>
                <w:bCs/>
                <w:color w:val="000000"/>
                <w:sz w:val="24"/>
                <w:szCs w:val="24"/>
                <w:lang w:val="en-US" w:eastAsia="zh-CN"/>
              </w:rPr>
              <w:t>地产</w:t>
            </w:r>
          </w:p>
        </w:tc>
        <w:tc>
          <w:tcPr>
            <w:tcW w:w="6176" w:type="dxa"/>
            <w:noWrap w:val="0"/>
            <w:vAlign w:val="center"/>
          </w:tcPr>
          <w:p>
            <w:pPr>
              <w:adjustRightInd w:val="0"/>
              <w:snapToGrid w:val="0"/>
              <w:rPr>
                <w:rFonts w:hint="eastAsia" w:ascii="宋体" w:hAnsi="宋体" w:eastAsia="宋体" w:cs="宋体"/>
                <w:sz w:val="24"/>
                <w:szCs w:val="24"/>
              </w:rPr>
            </w:pPr>
            <w:r>
              <w:rPr>
                <w:rFonts w:hint="eastAsia" w:ascii="宋体" w:hAnsi="宋体" w:eastAsia="宋体" w:cs="宋体"/>
                <w:sz w:val="24"/>
                <w:szCs w:val="24"/>
              </w:rPr>
              <w:t>珠实</w:t>
            </w:r>
            <w:r>
              <w:rPr>
                <w:rFonts w:hint="eastAsia" w:ascii="宋体" w:hAnsi="宋体" w:eastAsia="宋体" w:cs="宋体"/>
                <w:bCs/>
                <w:color w:val="000000"/>
                <w:sz w:val="24"/>
                <w:szCs w:val="24"/>
                <w:lang w:val="en-US" w:eastAsia="zh-CN"/>
              </w:rPr>
              <w:t>地产</w:t>
            </w:r>
            <w:r>
              <w:rPr>
                <w:rFonts w:hint="eastAsia" w:ascii="宋体" w:hAnsi="宋体" w:eastAsia="宋体" w:cs="宋体"/>
                <w:sz w:val="24"/>
                <w:szCs w:val="24"/>
              </w:rPr>
              <w:t>于2023年1月30日成立于广东省广州市，主要业务为房地产开发、销售。</w:t>
            </w:r>
          </w:p>
          <w:p>
            <w:pPr>
              <w:widowControl/>
              <w:adjustRightInd w:val="0"/>
              <w:snapToGrid w:val="0"/>
              <w:rPr>
                <w:rFonts w:hint="eastAsia" w:ascii="宋体" w:hAnsi="宋体" w:eastAsia="宋体" w:cs="宋体"/>
                <w:bCs/>
                <w:color w:val="000000"/>
                <w:kern w:val="0"/>
                <w:sz w:val="24"/>
                <w:szCs w:val="24"/>
                <w:lang w:val="en-GB" w:bidi="ar-AE"/>
              </w:rPr>
            </w:pPr>
            <w:r>
              <w:rPr>
                <w:rFonts w:hint="eastAsia" w:ascii="宋体" w:hAnsi="宋体" w:eastAsia="宋体" w:cs="宋体"/>
                <w:sz w:val="24"/>
                <w:szCs w:val="24"/>
              </w:rPr>
              <w:t>珠实</w:t>
            </w:r>
            <w:r>
              <w:rPr>
                <w:rFonts w:hint="eastAsia" w:ascii="宋体" w:hAnsi="宋体" w:eastAsia="宋体" w:cs="宋体"/>
                <w:bCs/>
                <w:color w:val="000000"/>
                <w:sz w:val="24"/>
                <w:szCs w:val="24"/>
                <w:lang w:val="en-US" w:eastAsia="zh-CN"/>
              </w:rPr>
              <w:t>地产</w:t>
            </w:r>
            <w:r>
              <w:rPr>
                <w:rFonts w:hint="eastAsia" w:ascii="宋体" w:hAnsi="宋体" w:eastAsia="宋体" w:cs="宋体"/>
                <w:sz w:val="24"/>
                <w:szCs w:val="24"/>
              </w:rPr>
              <w:t>的最终控制人是广州珠江实业集团有限公司，主要业务为城市建设与开发、产业园区投融资、城市运营与服务。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noWrap w:val="0"/>
            <w:vAlign w:val="center"/>
          </w:tcPr>
          <w:p>
            <w:pPr>
              <w:pStyle w:val="2"/>
              <w:adjustRightInd w:val="0"/>
              <w:snapToGrid w:val="0"/>
              <w:spacing w:after="0"/>
              <w:jc w:val="center"/>
              <w:rPr>
                <w:rFonts w:hint="eastAsia" w:ascii="宋体" w:hAnsi="宋体" w:eastAsia="宋体" w:cs="宋体"/>
                <w:bCs/>
                <w:color w:val="000000"/>
                <w:sz w:val="24"/>
                <w:szCs w:val="24"/>
                <w:lang w:val="en-US" w:eastAsia="zh-CN"/>
              </w:rPr>
            </w:pPr>
          </w:p>
        </w:tc>
        <w:tc>
          <w:tcPr>
            <w:tcW w:w="1607" w:type="dxa"/>
            <w:noWrap w:val="0"/>
            <w:vAlign w:val="center"/>
          </w:tcPr>
          <w:p>
            <w:pPr>
              <w:pStyle w:val="2"/>
              <w:adjustRightInd w:val="0"/>
              <w:snapToGrid w:val="0"/>
              <w:spacing w:after="0"/>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lang w:val="en-US" w:eastAsia="zh-CN"/>
              </w:rPr>
              <w:t>2.</w:t>
            </w:r>
            <w:r>
              <w:rPr>
                <w:rFonts w:hint="eastAsia" w:ascii="宋体" w:hAnsi="宋体" w:eastAsia="宋体" w:cs="宋体"/>
                <w:bCs/>
                <w:color w:val="000000"/>
                <w:sz w:val="24"/>
                <w:szCs w:val="24"/>
                <w:lang w:eastAsia="zh-CN"/>
              </w:rPr>
              <w:t>城投发展</w:t>
            </w:r>
          </w:p>
        </w:tc>
        <w:tc>
          <w:tcPr>
            <w:tcW w:w="6176" w:type="dxa"/>
            <w:noWrap w:val="0"/>
            <w:vAlign w:val="center"/>
          </w:tcPr>
          <w:p>
            <w:pPr>
              <w:adjustRightInd w:val="0"/>
              <w:snapToGrid w:val="0"/>
              <w:rPr>
                <w:rFonts w:hint="eastAsia" w:ascii="宋体" w:hAnsi="宋体" w:eastAsia="宋体" w:cs="宋体"/>
                <w:sz w:val="24"/>
                <w:szCs w:val="24"/>
              </w:rPr>
            </w:pPr>
            <w:r>
              <w:rPr>
                <w:rFonts w:hint="eastAsia" w:ascii="宋体" w:hAnsi="宋体" w:eastAsia="宋体" w:cs="宋体"/>
                <w:sz w:val="24"/>
                <w:szCs w:val="24"/>
              </w:rPr>
              <w:t>城投发展于2003年8月5日成立于广东省广州市，主要业务为住宅、大型零售商业地产等房地产的开发和运营。</w:t>
            </w:r>
          </w:p>
          <w:p>
            <w:pPr>
              <w:widowControl/>
              <w:adjustRightInd w:val="0"/>
              <w:snapToGrid w:val="0"/>
              <w:rPr>
                <w:rFonts w:hint="eastAsia" w:ascii="宋体" w:hAnsi="宋体" w:eastAsia="宋体" w:cs="宋体"/>
                <w:bCs/>
                <w:color w:val="000000"/>
                <w:kern w:val="0"/>
                <w:sz w:val="24"/>
                <w:szCs w:val="24"/>
              </w:rPr>
            </w:pPr>
            <w:r>
              <w:rPr>
                <w:rFonts w:hint="eastAsia" w:ascii="宋体" w:hAnsi="宋体" w:eastAsia="宋体" w:cs="宋体"/>
                <w:sz w:val="24"/>
                <w:szCs w:val="24"/>
              </w:rPr>
              <w:t>城投发展最终控制人为广州市城市建设投资集团有限公司，主要从事资产经营、房地产、金融和贸易业务。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noWrap w:val="0"/>
            <w:vAlign w:val="center"/>
          </w:tcPr>
          <w:p>
            <w:pPr>
              <w:pStyle w:val="2"/>
              <w:adjustRightInd w:val="0"/>
              <w:snapToGrid w:val="0"/>
              <w:spacing w:after="0"/>
              <w:jc w:val="center"/>
              <w:rPr>
                <w:rFonts w:hint="eastAsia" w:ascii="宋体" w:hAnsi="宋体" w:eastAsia="宋体" w:cs="宋体"/>
                <w:bCs/>
                <w:color w:val="000000"/>
                <w:sz w:val="24"/>
                <w:szCs w:val="24"/>
                <w:lang w:val="en-US" w:eastAsia="zh-CN"/>
              </w:rPr>
            </w:pPr>
          </w:p>
        </w:tc>
        <w:tc>
          <w:tcPr>
            <w:tcW w:w="1607" w:type="dxa"/>
            <w:noWrap w:val="0"/>
            <w:vAlign w:val="center"/>
          </w:tcPr>
          <w:p>
            <w:pPr>
              <w:pStyle w:val="2"/>
              <w:adjustRightInd w:val="0"/>
              <w:snapToGrid w:val="0"/>
              <w:spacing w:after="0"/>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val="en-US" w:eastAsia="zh-CN"/>
              </w:rPr>
              <w:t>3.润投咨询</w:t>
            </w:r>
          </w:p>
        </w:tc>
        <w:tc>
          <w:tcPr>
            <w:tcW w:w="6176" w:type="dxa"/>
            <w:noWrap w:val="0"/>
            <w:vAlign w:val="center"/>
          </w:tcPr>
          <w:p>
            <w:pPr>
              <w:adjustRightInd w:val="0"/>
              <w:snapToGrid w:val="0"/>
              <w:rPr>
                <w:rFonts w:hint="eastAsia" w:ascii="宋体" w:hAnsi="宋体" w:eastAsia="宋体" w:cs="宋体"/>
                <w:sz w:val="24"/>
                <w:szCs w:val="24"/>
              </w:rPr>
            </w:pPr>
            <w:r>
              <w:rPr>
                <w:rFonts w:hint="eastAsia" w:ascii="宋体" w:hAnsi="宋体" w:eastAsia="宋体" w:cs="宋体"/>
                <w:sz w:val="24"/>
                <w:szCs w:val="24"/>
              </w:rPr>
              <w:t>润投咨询于2021年6月7日成立于广东省广州市，主要业务为房地产开发与销售等。</w:t>
            </w:r>
          </w:p>
          <w:p>
            <w:pPr>
              <w:pStyle w:val="2"/>
              <w:adjustRightInd w:val="0"/>
              <w:snapToGrid w:val="0"/>
              <w:spacing w:after="0"/>
              <w:rPr>
                <w:rFonts w:hint="eastAsia" w:ascii="宋体" w:hAnsi="宋体" w:eastAsia="宋体" w:cs="宋体"/>
                <w:bCs/>
                <w:color w:val="000000"/>
                <w:sz w:val="24"/>
                <w:szCs w:val="24"/>
                <w:lang w:val="en-US" w:eastAsia="zh-CN"/>
              </w:rPr>
            </w:pPr>
            <w:r>
              <w:rPr>
                <w:rFonts w:hint="eastAsia" w:ascii="宋体" w:hAnsi="宋体" w:eastAsia="宋体" w:cs="宋体"/>
                <w:sz w:val="24"/>
                <w:szCs w:val="24"/>
                <w:lang w:eastAsia="zh-CN"/>
              </w:rPr>
              <w:t>润投咨询最终控制人为中国华润有限公司，主要业务为大消费、综合能源、城市建设与运营、大健康、产业金融、科技及新兴产业等。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noWrap w:val="0"/>
            <w:vAlign w:val="center"/>
          </w:tcPr>
          <w:p>
            <w:pPr>
              <w:pStyle w:val="2"/>
              <w:adjustRightInd w:val="0"/>
              <w:snapToGrid w:val="0"/>
              <w:spacing w:after="0"/>
              <w:jc w:val="center"/>
              <w:rPr>
                <w:rFonts w:hint="eastAsia" w:ascii="宋体" w:hAnsi="宋体" w:eastAsia="宋体" w:cs="宋体"/>
                <w:bCs/>
                <w:color w:val="000000"/>
                <w:sz w:val="24"/>
                <w:szCs w:val="24"/>
                <w:lang w:val="en-US" w:eastAsia="zh-CN"/>
              </w:rPr>
            </w:pPr>
          </w:p>
        </w:tc>
        <w:tc>
          <w:tcPr>
            <w:tcW w:w="1607" w:type="dxa"/>
            <w:noWrap w:val="0"/>
            <w:vAlign w:val="center"/>
          </w:tcPr>
          <w:p>
            <w:pPr>
              <w:pStyle w:val="2"/>
              <w:adjustRightInd w:val="0"/>
              <w:snapToGrid w:val="0"/>
              <w:spacing w:after="0"/>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lang w:val="en-US" w:eastAsia="zh-CN"/>
              </w:rPr>
              <w:t>4.南沙交投</w:t>
            </w:r>
          </w:p>
        </w:tc>
        <w:tc>
          <w:tcPr>
            <w:tcW w:w="6176" w:type="dxa"/>
            <w:noWrap w:val="0"/>
            <w:vAlign w:val="center"/>
          </w:tcPr>
          <w:p>
            <w:pPr>
              <w:adjustRightInd w:val="0"/>
              <w:snapToGrid w:val="0"/>
              <w:rPr>
                <w:rFonts w:hint="eastAsia" w:ascii="宋体" w:hAnsi="宋体" w:eastAsia="宋体" w:cs="宋体"/>
                <w:sz w:val="24"/>
                <w:szCs w:val="24"/>
              </w:rPr>
            </w:pPr>
            <w:r>
              <w:rPr>
                <w:rFonts w:hint="eastAsia" w:ascii="宋体" w:hAnsi="宋体" w:eastAsia="宋体" w:cs="宋体"/>
                <w:sz w:val="24"/>
                <w:szCs w:val="24"/>
              </w:rPr>
              <w:t>南沙交投于2022年8月15日成立于广东省广州市，主要业务为交通基础设施投资、建设及运营，智慧交通投资、建设与运营，以及综合交通业务等。</w:t>
            </w:r>
          </w:p>
          <w:p>
            <w:pPr>
              <w:adjustRightInd w:val="0"/>
              <w:snapToGrid w:val="0"/>
              <w:rPr>
                <w:rFonts w:hint="eastAsia" w:ascii="宋体" w:hAnsi="宋体" w:eastAsia="宋体" w:cs="宋体"/>
                <w:bCs/>
                <w:color w:val="000000"/>
                <w:sz w:val="24"/>
                <w:szCs w:val="24"/>
                <w:lang w:val="en-US" w:eastAsia="zh-CN"/>
              </w:rPr>
            </w:pPr>
            <w:r>
              <w:rPr>
                <w:rFonts w:hint="eastAsia" w:ascii="宋体" w:hAnsi="宋体" w:eastAsia="宋体" w:cs="宋体"/>
                <w:sz w:val="24"/>
                <w:szCs w:val="24"/>
                <w:lang w:eastAsia="zh-CN"/>
              </w:rPr>
              <w:t>南沙交投为广州南沙经济技术开发区管理委员会下属企业。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noWrap w:val="0"/>
            <w:vAlign w:val="center"/>
          </w:tcPr>
          <w:p>
            <w:pPr>
              <w:pStyle w:val="2"/>
              <w:adjustRightInd w:val="0"/>
              <w:snapToGrid w:val="0"/>
              <w:spacing w:after="0"/>
              <w:jc w:val="center"/>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lang w:eastAsia="zh-CN"/>
              </w:rPr>
              <w:t>简易案件理由</w:t>
            </w:r>
          </w:p>
        </w:tc>
        <w:tc>
          <w:tcPr>
            <w:tcW w:w="7783" w:type="dxa"/>
            <w:gridSpan w:val="2"/>
            <w:noWrap w:val="0"/>
            <w:vAlign w:val="center"/>
          </w:tcPr>
          <w:p>
            <w:pPr>
              <w:pStyle w:val="2"/>
              <w:adjustRightInd w:val="0"/>
              <w:snapToGrid w:val="0"/>
              <w:spacing w:after="0"/>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lang w:eastAsia="zh-CN"/>
              </w:rPr>
              <w:sym w:font="Wingdings" w:char="00FE"/>
            </w:r>
            <w:r>
              <w:rPr>
                <w:rFonts w:hint="eastAsia" w:ascii="宋体" w:hAnsi="宋体" w:eastAsia="宋体" w:cs="宋体"/>
                <w:bCs/>
                <w:color w:val="000000"/>
                <w:sz w:val="24"/>
                <w:szCs w:val="24"/>
                <w:lang w:eastAsia="zh-CN"/>
              </w:rPr>
              <w:t xml:space="preserve"> 1</w:t>
            </w:r>
            <w:r>
              <w:rPr>
                <w:rFonts w:hint="eastAsia" w:ascii="宋体" w:hAnsi="宋体" w:eastAsia="宋体" w:cs="宋体"/>
                <w:bCs/>
                <w:color w:val="000000"/>
                <w:sz w:val="24"/>
                <w:szCs w:val="24"/>
                <w:lang w:val="en-US" w:eastAsia="zh-CN"/>
              </w:rPr>
              <w:t>.</w:t>
            </w:r>
            <w:r>
              <w:rPr>
                <w:rFonts w:hint="eastAsia" w:ascii="宋体" w:hAnsi="宋体" w:eastAsia="宋体" w:cs="宋体"/>
                <w:bCs/>
                <w:color w:val="000000"/>
                <w:sz w:val="24"/>
                <w:szCs w:val="24"/>
                <w:lang w:eastAsia="zh-CN"/>
              </w:rPr>
              <w:t>在同一相关市场，参与集中的经营者所占的市场份额之和小于15%。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noWrap w:val="0"/>
            <w:vAlign w:val="center"/>
          </w:tcPr>
          <w:p>
            <w:pPr>
              <w:pStyle w:val="2"/>
              <w:adjustRightInd w:val="0"/>
              <w:snapToGrid w:val="0"/>
              <w:spacing w:after="0"/>
              <w:jc w:val="center"/>
              <w:rPr>
                <w:rFonts w:hint="eastAsia" w:ascii="宋体" w:hAnsi="宋体" w:eastAsia="宋体" w:cs="宋体"/>
                <w:bCs/>
                <w:color w:val="000000"/>
                <w:sz w:val="24"/>
                <w:szCs w:val="24"/>
                <w:lang w:val="en-US" w:eastAsia="zh-CN"/>
              </w:rPr>
            </w:pPr>
          </w:p>
        </w:tc>
        <w:tc>
          <w:tcPr>
            <w:tcW w:w="7783" w:type="dxa"/>
            <w:gridSpan w:val="2"/>
            <w:noWrap w:val="0"/>
            <w:vAlign w:val="center"/>
          </w:tcPr>
          <w:p>
            <w:pPr>
              <w:pStyle w:val="2"/>
              <w:adjustRightInd w:val="0"/>
              <w:snapToGrid w:val="0"/>
              <w:spacing w:after="0"/>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lang w:eastAsia="zh-CN"/>
              </w:rPr>
              <w:sym w:font="Wingdings" w:char="00FE"/>
            </w:r>
            <w:r>
              <w:rPr>
                <w:rFonts w:hint="eastAsia" w:ascii="宋体" w:hAnsi="宋体" w:eastAsia="宋体" w:cs="宋体"/>
                <w:bCs/>
                <w:color w:val="000000"/>
                <w:sz w:val="24"/>
                <w:szCs w:val="24"/>
                <w:lang w:eastAsia="zh-CN"/>
              </w:rPr>
              <w:t xml:space="preserve"> 2</w:t>
            </w:r>
            <w:r>
              <w:rPr>
                <w:rFonts w:hint="eastAsia" w:ascii="宋体" w:hAnsi="宋体" w:eastAsia="宋体" w:cs="宋体"/>
                <w:bCs/>
                <w:color w:val="000000"/>
                <w:sz w:val="24"/>
                <w:szCs w:val="24"/>
                <w:lang w:val="en-US" w:eastAsia="zh-CN"/>
              </w:rPr>
              <w:t>.</w:t>
            </w:r>
            <w:r>
              <w:rPr>
                <w:rFonts w:hint="eastAsia" w:ascii="宋体" w:hAnsi="宋体" w:eastAsia="宋体" w:cs="宋体"/>
                <w:bCs/>
                <w:color w:val="000000"/>
                <w:sz w:val="24"/>
                <w:szCs w:val="24"/>
                <w:lang w:eastAsia="zh-CN"/>
              </w:rPr>
              <w:t>在上下游市场，参与集中的经营者所占的市场份额均小于25%。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noWrap w:val="0"/>
            <w:vAlign w:val="center"/>
          </w:tcPr>
          <w:p>
            <w:pPr>
              <w:pStyle w:val="2"/>
              <w:adjustRightInd w:val="0"/>
              <w:snapToGrid w:val="0"/>
              <w:spacing w:after="0"/>
              <w:jc w:val="center"/>
              <w:rPr>
                <w:rFonts w:hint="eastAsia" w:ascii="宋体" w:hAnsi="宋体" w:eastAsia="宋体" w:cs="宋体"/>
                <w:bCs/>
                <w:color w:val="000000"/>
                <w:sz w:val="24"/>
                <w:szCs w:val="24"/>
                <w:lang w:val="en-US" w:eastAsia="zh-CN"/>
              </w:rPr>
            </w:pPr>
          </w:p>
        </w:tc>
        <w:tc>
          <w:tcPr>
            <w:tcW w:w="7783" w:type="dxa"/>
            <w:gridSpan w:val="2"/>
            <w:noWrap w:val="0"/>
            <w:vAlign w:val="center"/>
          </w:tcPr>
          <w:p>
            <w:pPr>
              <w:pStyle w:val="2"/>
              <w:adjustRightInd w:val="0"/>
              <w:snapToGrid w:val="0"/>
              <w:spacing w:after="0"/>
              <w:rPr>
                <w:rFonts w:hint="eastAsia" w:ascii="宋体" w:hAnsi="宋体" w:eastAsia="宋体" w:cs="宋体"/>
                <w:bCs/>
                <w:color w:val="FF0000"/>
                <w:sz w:val="24"/>
                <w:szCs w:val="24"/>
                <w:lang w:val="en-US" w:eastAsia="zh-CN"/>
              </w:rPr>
            </w:pPr>
            <w:r>
              <w:rPr>
                <w:rFonts w:hint="eastAsia" w:ascii="宋体" w:hAnsi="宋体" w:eastAsia="宋体" w:cs="宋体"/>
                <w:bCs/>
                <w:color w:val="000000"/>
                <w:sz w:val="24"/>
                <w:szCs w:val="24"/>
                <w:lang w:eastAsia="zh-CN"/>
              </w:rPr>
              <w:sym w:font="Wingdings" w:char="00A8"/>
            </w:r>
            <w:r>
              <w:rPr>
                <w:rFonts w:hint="eastAsia" w:ascii="宋体" w:hAnsi="宋体" w:eastAsia="宋体" w:cs="宋体"/>
                <w:bCs/>
                <w:color w:val="000000"/>
                <w:sz w:val="24"/>
                <w:szCs w:val="24"/>
                <w:lang w:eastAsia="zh-CN"/>
              </w:rPr>
              <w:t xml:space="preserve"> 3</w:t>
            </w:r>
            <w:r>
              <w:rPr>
                <w:rFonts w:hint="eastAsia" w:ascii="宋体" w:hAnsi="宋体" w:eastAsia="宋体" w:cs="宋体"/>
                <w:bCs/>
                <w:color w:val="000000"/>
                <w:sz w:val="24"/>
                <w:szCs w:val="24"/>
                <w:lang w:val="en-US" w:eastAsia="zh-CN"/>
              </w:rPr>
              <w:t>.</w:t>
            </w:r>
            <w:r>
              <w:rPr>
                <w:rFonts w:hint="eastAsia" w:ascii="宋体" w:hAnsi="宋体" w:eastAsia="宋体" w:cs="宋体"/>
                <w:bCs/>
                <w:color w:val="000000"/>
                <w:sz w:val="24"/>
                <w:szCs w:val="24"/>
                <w:lang w:eastAsia="zh-CN"/>
              </w:rPr>
              <w:t>不在同一相关市场也不存在上下游关系的参与集中的经营者，在与交易有关的每个市场所占的市场份额均小于25%。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noWrap w:val="0"/>
            <w:vAlign w:val="center"/>
          </w:tcPr>
          <w:p>
            <w:pPr>
              <w:pStyle w:val="2"/>
              <w:adjustRightInd w:val="0"/>
              <w:snapToGrid w:val="0"/>
              <w:spacing w:after="0"/>
              <w:jc w:val="center"/>
              <w:rPr>
                <w:rFonts w:hint="eastAsia" w:ascii="宋体" w:hAnsi="宋体" w:eastAsia="宋体" w:cs="宋体"/>
                <w:bCs/>
                <w:color w:val="000000"/>
                <w:sz w:val="24"/>
                <w:szCs w:val="24"/>
                <w:lang w:val="en-US" w:eastAsia="zh-CN"/>
              </w:rPr>
            </w:pPr>
          </w:p>
        </w:tc>
        <w:tc>
          <w:tcPr>
            <w:tcW w:w="7783" w:type="dxa"/>
            <w:gridSpan w:val="2"/>
            <w:noWrap w:val="0"/>
            <w:vAlign w:val="center"/>
          </w:tcPr>
          <w:p>
            <w:pPr>
              <w:pStyle w:val="2"/>
              <w:adjustRightInd w:val="0"/>
              <w:snapToGrid w:val="0"/>
              <w:spacing w:after="0"/>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lang w:eastAsia="zh-CN"/>
              </w:rPr>
              <w:sym w:font="Wingdings" w:char="00A8"/>
            </w:r>
            <w:r>
              <w:rPr>
                <w:rFonts w:hint="eastAsia" w:ascii="宋体" w:hAnsi="宋体" w:eastAsia="宋体" w:cs="宋体"/>
                <w:bCs/>
                <w:color w:val="000000"/>
                <w:sz w:val="24"/>
                <w:szCs w:val="24"/>
                <w:lang w:eastAsia="zh-CN"/>
              </w:rPr>
              <w:t xml:space="preserve"> 4</w:t>
            </w:r>
            <w:r>
              <w:rPr>
                <w:rFonts w:hint="eastAsia" w:ascii="宋体" w:hAnsi="宋体" w:eastAsia="宋体" w:cs="宋体"/>
                <w:bCs/>
                <w:color w:val="000000"/>
                <w:sz w:val="24"/>
                <w:szCs w:val="24"/>
                <w:lang w:val="en-US" w:eastAsia="zh-CN"/>
              </w:rPr>
              <w:t>.</w:t>
            </w:r>
            <w:r>
              <w:rPr>
                <w:rFonts w:hint="eastAsia" w:ascii="宋体" w:hAnsi="宋体" w:eastAsia="宋体" w:cs="宋体"/>
                <w:bCs/>
                <w:color w:val="000000"/>
                <w:sz w:val="24"/>
                <w:szCs w:val="24"/>
                <w:lang w:eastAsia="zh-CN"/>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noWrap w:val="0"/>
            <w:vAlign w:val="center"/>
          </w:tcPr>
          <w:p>
            <w:pPr>
              <w:pStyle w:val="2"/>
              <w:adjustRightInd w:val="0"/>
              <w:snapToGrid w:val="0"/>
              <w:spacing w:after="0"/>
              <w:jc w:val="center"/>
              <w:rPr>
                <w:rFonts w:hint="eastAsia" w:ascii="宋体" w:hAnsi="宋体" w:eastAsia="宋体" w:cs="宋体"/>
                <w:bCs/>
                <w:color w:val="000000"/>
                <w:sz w:val="24"/>
                <w:szCs w:val="24"/>
                <w:lang w:val="en-US" w:eastAsia="zh-CN"/>
              </w:rPr>
            </w:pPr>
          </w:p>
        </w:tc>
        <w:tc>
          <w:tcPr>
            <w:tcW w:w="7783" w:type="dxa"/>
            <w:gridSpan w:val="2"/>
            <w:noWrap w:val="0"/>
            <w:vAlign w:val="center"/>
          </w:tcPr>
          <w:p>
            <w:pPr>
              <w:pStyle w:val="2"/>
              <w:adjustRightInd w:val="0"/>
              <w:snapToGrid w:val="0"/>
              <w:spacing w:after="0"/>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lang w:eastAsia="zh-CN"/>
              </w:rPr>
              <w:sym w:font="Wingdings" w:char="00A8"/>
            </w:r>
            <w:r>
              <w:rPr>
                <w:rFonts w:hint="eastAsia" w:ascii="宋体" w:hAnsi="宋体" w:eastAsia="宋体" w:cs="宋体"/>
                <w:bCs/>
                <w:color w:val="000000"/>
                <w:sz w:val="24"/>
                <w:szCs w:val="24"/>
                <w:lang w:eastAsia="zh-CN"/>
              </w:rPr>
              <w:t xml:space="preserve"> 5</w:t>
            </w:r>
            <w:r>
              <w:rPr>
                <w:rFonts w:hint="eastAsia" w:ascii="宋体" w:hAnsi="宋体" w:eastAsia="宋体" w:cs="宋体"/>
                <w:bCs/>
                <w:color w:val="000000"/>
                <w:sz w:val="24"/>
                <w:szCs w:val="24"/>
                <w:lang w:val="en-US" w:eastAsia="zh-CN"/>
              </w:rPr>
              <w:t>.</w:t>
            </w:r>
            <w:r>
              <w:rPr>
                <w:rFonts w:hint="eastAsia" w:ascii="宋体" w:hAnsi="宋体" w:eastAsia="宋体" w:cs="宋体"/>
                <w:bCs/>
                <w:color w:val="000000"/>
                <w:sz w:val="24"/>
                <w:szCs w:val="24"/>
                <w:lang w:eastAsia="zh-CN"/>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noWrap w:val="0"/>
            <w:vAlign w:val="center"/>
          </w:tcPr>
          <w:p>
            <w:pPr>
              <w:pStyle w:val="2"/>
              <w:adjustRightInd w:val="0"/>
              <w:snapToGrid w:val="0"/>
              <w:spacing w:after="0"/>
              <w:jc w:val="center"/>
              <w:rPr>
                <w:rFonts w:hint="eastAsia" w:ascii="宋体" w:hAnsi="宋体" w:eastAsia="宋体" w:cs="宋体"/>
                <w:bCs/>
                <w:color w:val="000000"/>
                <w:sz w:val="24"/>
                <w:szCs w:val="24"/>
                <w:lang w:val="en-US" w:eastAsia="zh-CN"/>
              </w:rPr>
            </w:pPr>
          </w:p>
        </w:tc>
        <w:tc>
          <w:tcPr>
            <w:tcW w:w="7783" w:type="dxa"/>
            <w:gridSpan w:val="2"/>
            <w:noWrap w:val="0"/>
            <w:vAlign w:val="center"/>
          </w:tcPr>
          <w:p>
            <w:pPr>
              <w:pStyle w:val="2"/>
              <w:adjustRightInd w:val="0"/>
              <w:snapToGrid w:val="0"/>
              <w:spacing w:after="0"/>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lang w:eastAsia="zh-CN"/>
              </w:rPr>
              <w:sym w:font="Wingdings" w:char="00A8"/>
            </w:r>
            <w:r>
              <w:rPr>
                <w:rFonts w:hint="eastAsia" w:ascii="宋体" w:hAnsi="宋体" w:eastAsia="宋体" w:cs="宋体"/>
                <w:bCs/>
                <w:color w:val="000000"/>
                <w:sz w:val="24"/>
                <w:szCs w:val="24"/>
                <w:lang w:eastAsia="zh-CN"/>
              </w:rPr>
              <w:t xml:space="preserve"> 6</w:t>
            </w:r>
            <w:r>
              <w:rPr>
                <w:rFonts w:hint="eastAsia" w:ascii="宋体" w:hAnsi="宋体" w:eastAsia="宋体" w:cs="宋体"/>
                <w:bCs/>
                <w:color w:val="000000"/>
                <w:sz w:val="24"/>
                <w:szCs w:val="24"/>
                <w:lang w:val="en-US" w:eastAsia="zh-CN"/>
              </w:rPr>
              <w:t>.</w:t>
            </w:r>
            <w:r>
              <w:rPr>
                <w:rFonts w:hint="eastAsia" w:ascii="宋体" w:hAnsi="宋体" w:eastAsia="宋体" w:cs="宋体"/>
                <w:bCs/>
                <w:color w:val="000000"/>
                <w:sz w:val="24"/>
                <w:szCs w:val="24"/>
                <w:lang w:eastAsia="zh-CN"/>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46" w:hRule="atLeast"/>
          <w:jc w:val="center"/>
        </w:trPr>
        <w:tc>
          <w:tcPr>
            <w:tcW w:w="1940" w:type="dxa"/>
            <w:shd w:val="clear" w:color="auto" w:fill="D9D9D9"/>
            <w:noWrap w:val="0"/>
            <w:vAlign w:val="center"/>
          </w:tcPr>
          <w:p>
            <w:pPr>
              <w:pStyle w:val="2"/>
              <w:adjustRightInd w:val="0"/>
              <w:snapToGrid w:val="0"/>
              <w:spacing w:after="0"/>
              <w:jc w:val="center"/>
              <w:rPr>
                <w:rFonts w:hint="eastAsia" w:ascii="宋体" w:hAnsi="宋体" w:cs="宋体"/>
                <w:bCs/>
                <w:color w:val="000000"/>
                <w:lang w:val="en-US" w:eastAsia="zh-CN"/>
              </w:rPr>
            </w:pPr>
            <w:r>
              <w:rPr>
                <w:rFonts w:hint="eastAsia" w:ascii="宋体" w:hAnsi="宋体" w:cs="宋体"/>
                <w:bCs/>
                <w:color w:val="000000"/>
                <w:sz w:val="24"/>
                <w:szCs w:val="24"/>
                <w:lang w:val="en-US" w:eastAsia="zh-CN"/>
              </w:rPr>
              <w:t>备注</w:t>
            </w:r>
          </w:p>
        </w:tc>
        <w:tc>
          <w:tcPr>
            <w:tcW w:w="7783" w:type="dxa"/>
            <w:gridSpan w:val="2"/>
            <w:noWrap w:val="0"/>
            <w:vAlign w:val="center"/>
          </w:tcPr>
          <w:p>
            <w:pPr>
              <w:pStyle w:val="2"/>
              <w:adjustRightInd w:val="0"/>
              <w:snapToGrid w:val="0"/>
              <w:spacing w:after="0"/>
              <w:rPr>
                <w:rFonts w:hint="eastAsia" w:ascii="宋体" w:hAnsi="宋体" w:eastAsia="宋体" w:cs="宋体"/>
                <w:b/>
                <w:color w:val="000000"/>
                <w:sz w:val="24"/>
                <w:szCs w:val="24"/>
                <w:lang w:eastAsia="zh-CN"/>
              </w:rPr>
            </w:pPr>
            <w:r>
              <w:rPr>
                <w:rFonts w:hint="eastAsia" w:ascii="宋体" w:hAnsi="宋体" w:eastAsia="宋体" w:cs="宋体"/>
                <w:b/>
                <w:color w:val="000000"/>
                <w:sz w:val="24"/>
                <w:szCs w:val="24"/>
                <w:lang w:eastAsia="zh-CN"/>
              </w:rPr>
              <w:t>横向重叠：</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87"/>
              <w:gridCol w:w="1843"/>
              <w:gridCol w:w="35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87"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jc w:val="center"/>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相关商品市场</w:t>
                  </w:r>
                </w:p>
              </w:tc>
              <w:tc>
                <w:tcPr>
                  <w:tcW w:w="1843"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jc w:val="center"/>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相关地域市场</w:t>
                  </w:r>
                </w:p>
              </w:tc>
              <w:tc>
                <w:tcPr>
                  <w:tcW w:w="3544"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jc w:val="center"/>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2023年市场份额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87"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住宅物业管理服务市场</w:t>
                  </w:r>
                </w:p>
              </w:tc>
              <w:tc>
                <w:tcPr>
                  <w:tcW w:w="1843"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广州市</w:t>
                  </w:r>
                </w:p>
              </w:tc>
              <w:tc>
                <w:tcPr>
                  <w:tcW w:w="3544"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珠实</w:t>
                  </w:r>
                  <w:r>
                    <w:rPr>
                      <w:rFonts w:hint="eastAsia" w:ascii="宋体" w:hAnsi="宋体" w:eastAsia="宋体" w:cs="宋体"/>
                      <w:bCs/>
                      <w:color w:val="000000"/>
                      <w:sz w:val="24"/>
                      <w:szCs w:val="24"/>
                      <w:lang w:val="en-US" w:eastAsia="zh-CN"/>
                    </w:rPr>
                    <w:t>地产</w:t>
                  </w:r>
                  <w:r>
                    <w:rPr>
                      <w:rFonts w:hint="eastAsia" w:ascii="宋体" w:hAnsi="宋体" w:eastAsia="宋体" w:cs="宋体"/>
                      <w:bCs/>
                      <w:color w:val="000000"/>
                      <w:sz w:val="24"/>
                      <w:szCs w:val="24"/>
                      <w:lang w:eastAsia="zh-CN"/>
                    </w:rPr>
                    <w:t>：0-5%</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城投发展：0-5%</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各方合计：0-5%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87"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房屋建筑工程施工服务市场</w:t>
                  </w:r>
                </w:p>
              </w:tc>
              <w:tc>
                <w:tcPr>
                  <w:tcW w:w="1843"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中国境内</w:t>
                  </w:r>
                </w:p>
              </w:tc>
              <w:tc>
                <w:tcPr>
                  <w:tcW w:w="3544"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珠实</w:t>
                  </w:r>
                  <w:r>
                    <w:rPr>
                      <w:rFonts w:hint="eastAsia" w:ascii="宋体" w:hAnsi="宋体" w:eastAsia="宋体" w:cs="宋体"/>
                      <w:bCs/>
                      <w:color w:val="000000"/>
                      <w:sz w:val="24"/>
                      <w:szCs w:val="24"/>
                      <w:lang w:val="en-US" w:eastAsia="zh-CN"/>
                    </w:rPr>
                    <w:t>地产</w:t>
                  </w:r>
                  <w:r>
                    <w:rPr>
                      <w:rFonts w:hint="eastAsia" w:ascii="宋体" w:hAnsi="宋体" w:eastAsia="宋体" w:cs="宋体"/>
                      <w:bCs/>
                      <w:color w:val="000000"/>
                      <w:sz w:val="24"/>
                      <w:szCs w:val="24"/>
                      <w:lang w:eastAsia="zh-CN"/>
                    </w:rPr>
                    <w:t>：0-5%</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城投发展：0-5%</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润投咨询：0-5%</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南沙交投：0-5%</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各方合计：0-5%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087"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商品住宅开发和销售市场</w:t>
                  </w:r>
                </w:p>
              </w:tc>
              <w:tc>
                <w:tcPr>
                  <w:tcW w:w="1843"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广州市</w:t>
                  </w:r>
                </w:p>
              </w:tc>
              <w:tc>
                <w:tcPr>
                  <w:tcW w:w="3544"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珠实</w:t>
                  </w:r>
                  <w:r>
                    <w:rPr>
                      <w:rFonts w:hint="eastAsia" w:ascii="宋体" w:hAnsi="宋体" w:eastAsia="宋体" w:cs="宋体"/>
                      <w:bCs/>
                      <w:color w:val="000000"/>
                      <w:sz w:val="24"/>
                      <w:szCs w:val="24"/>
                      <w:lang w:val="en-US" w:eastAsia="zh-CN"/>
                    </w:rPr>
                    <w:t>地产</w:t>
                  </w:r>
                  <w:r>
                    <w:rPr>
                      <w:rFonts w:hint="eastAsia" w:ascii="宋体" w:hAnsi="宋体" w:eastAsia="宋体" w:cs="宋体"/>
                      <w:bCs/>
                      <w:color w:val="000000"/>
                      <w:sz w:val="24"/>
                      <w:szCs w:val="24"/>
                      <w:lang w:eastAsia="zh-CN"/>
                    </w:rPr>
                    <w:t>：0-5%</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城投发展：0-5%</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润投咨询：0-5%</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各方合计：5-10%</w:t>
                  </w:r>
                </w:p>
              </w:tc>
            </w:tr>
          </w:tbl>
          <w:p>
            <w:pPr>
              <w:pStyle w:val="2"/>
              <w:adjustRightInd w:val="0"/>
              <w:snapToGrid w:val="0"/>
              <w:spacing w:after="0"/>
              <w:rPr>
                <w:rFonts w:hint="eastAsia" w:ascii="宋体" w:hAnsi="宋体" w:eastAsia="宋体" w:cs="宋体"/>
                <w:b/>
                <w:color w:val="000000"/>
                <w:sz w:val="24"/>
                <w:szCs w:val="24"/>
                <w:lang w:eastAsia="zh-CN"/>
              </w:rPr>
            </w:pPr>
          </w:p>
          <w:p>
            <w:pPr>
              <w:pStyle w:val="2"/>
              <w:adjustRightInd w:val="0"/>
              <w:snapToGrid w:val="0"/>
              <w:spacing w:after="0"/>
              <w:rPr>
                <w:rFonts w:hint="eastAsia" w:ascii="宋体" w:hAnsi="宋体" w:eastAsia="宋体" w:cs="宋体"/>
                <w:bCs/>
                <w:color w:val="000000"/>
                <w:sz w:val="24"/>
                <w:szCs w:val="24"/>
                <w:lang w:eastAsia="zh-CN"/>
              </w:rPr>
            </w:pPr>
            <w:r>
              <w:rPr>
                <w:rFonts w:hint="eastAsia" w:ascii="宋体" w:hAnsi="宋体" w:eastAsia="宋体" w:cs="宋体"/>
                <w:b/>
                <w:color w:val="000000"/>
                <w:sz w:val="24"/>
                <w:szCs w:val="24"/>
                <w:lang w:eastAsia="zh-CN"/>
              </w:rPr>
              <w:t>纵向关联：</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87"/>
              <w:gridCol w:w="1843"/>
              <w:gridCol w:w="35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87"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jc w:val="center"/>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相关商品市场</w:t>
                  </w:r>
                </w:p>
              </w:tc>
              <w:tc>
                <w:tcPr>
                  <w:tcW w:w="1843"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jc w:val="center"/>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相关地域市场</w:t>
                  </w:r>
                </w:p>
              </w:tc>
              <w:tc>
                <w:tcPr>
                  <w:tcW w:w="3544"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jc w:val="center"/>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2023年市场份额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87"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上游：住宅物业管理服务市场</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下游：商品住宅开发和销售市场</w:t>
                  </w:r>
                </w:p>
              </w:tc>
              <w:tc>
                <w:tcPr>
                  <w:tcW w:w="1843"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上游：广州市</w:t>
                  </w:r>
                </w:p>
                <w:p>
                  <w:pPr>
                    <w:keepNext w:val="0"/>
                    <w:keepLines w:val="0"/>
                    <w:pageBreakBefore w:val="0"/>
                    <w:widowControl w:val="0"/>
                    <w:kinsoku/>
                    <w:wordWrap/>
                    <w:overflowPunct/>
                    <w:topLinePunct w:val="0"/>
                    <w:autoSpaceDE/>
                    <w:autoSpaceDN/>
                    <w:bidi w:val="0"/>
                    <w:spacing w:line="320" w:lineRule="exact"/>
                    <w:textAlignment w:val="auto"/>
                    <w:rPr>
                      <w:rFonts w:hint="eastAsia" w:ascii="宋体" w:hAnsi="宋体" w:eastAsia="宋体" w:cs="宋体"/>
                      <w:bCs/>
                      <w:color w:val="000000"/>
                      <w:sz w:val="24"/>
                      <w:szCs w:val="24"/>
                    </w:rPr>
                  </w:pPr>
                </w:p>
                <w:p>
                  <w:pPr>
                    <w:keepNext w:val="0"/>
                    <w:keepLines w:val="0"/>
                    <w:pageBreakBefore w:val="0"/>
                    <w:widowControl w:val="0"/>
                    <w:kinsoku/>
                    <w:wordWrap/>
                    <w:overflowPunct/>
                    <w:topLinePunct w:val="0"/>
                    <w:autoSpaceDE/>
                    <w:autoSpaceDN/>
                    <w:bidi w:val="0"/>
                    <w:spacing w:line="320" w:lineRule="exact"/>
                    <w:textAlignment w:val="auto"/>
                    <w:rPr>
                      <w:rFonts w:hint="eastAsia" w:ascii="宋体" w:hAnsi="宋体" w:eastAsia="宋体" w:cs="宋体"/>
                      <w:bCs/>
                      <w:color w:val="000000"/>
                      <w:sz w:val="24"/>
                      <w:szCs w:val="24"/>
                    </w:rPr>
                  </w:pPr>
                </w:p>
                <w:p>
                  <w:pPr>
                    <w:keepNext w:val="0"/>
                    <w:keepLines w:val="0"/>
                    <w:pageBreakBefore w:val="0"/>
                    <w:widowControl w:val="0"/>
                    <w:kinsoku/>
                    <w:wordWrap/>
                    <w:overflowPunct/>
                    <w:topLinePunct w:val="0"/>
                    <w:autoSpaceDE/>
                    <w:autoSpaceDN/>
                    <w:bidi w:val="0"/>
                    <w:spacing w:line="320" w:lineRule="exact"/>
                    <w:textAlignment w:val="auto"/>
                    <w:rPr>
                      <w:rFonts w:hint="eastAsia" w:ascii="宋体" w:hAnsi="宋体" w:eastAsia="宋体" w:cs="宋体"/>
                      <w:bCs/>
                      <w:color w:val="000000"/>
                      <w:sz w:val="24"/>
                      <w:szCs w:val="24"/>
                    </w:rPr>
                  </w:pPr>
                </w:p>
                <w:p>
                  <w:pPr>
                    <w:keepNext w:val="0"/>
                    <w:keepLines w:val="0"/>
                    <w:pageBreakBefore w:val="0"/>
                    <w:widowControl w:val="0"/>
                    <w:kinsoku/>
                    <w:wordWrap/>
                    <w:overflowPunct/>
                    <w:topLinePunct w:val="0"/>
                    <w:autoSpaceDE/>
                    <w:autoSpaceDN/>
                    <w:bidi w:val="0"/>
                    <w:spacing w:line="320" w:lineRule="exact"/>
                    <w:textAlignment w:val="auto"/>
                    <w:rPr>
                      <w:rFonts w:hint="eastAsia" w:ascii="宋体" w:hAnsi="宋体" w:eastAsia="宋体" w:cs="宋体"/>
                      <w:sz w:val="24"/>
                      <w:szCs w:val="24"/>
                    </w:rPr>
                  </w:pPr>
                  <w:r>
                    <w:rPr>
                      <w:rFonts w:hint="eastAsia" w:ascii="宋体" w:hAnsi="宋体" w:eastAsia="宋体" w:cs="宋体"/>
                      <w:bCs/>
                      <w:color w:val="000000"/>
                      <w:sz w:val="24"/>
                      <w:szCs w:val="24"/>
                    </w:rPr>
                    <w:t>下游：广州市</w:t>
                  </w:r>
                </w:p>
              </w:tc>
              <w:tc>
                <w:tcPr>
                  <w:tcW w:w="3544"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上游：广州市住宅物业管理服务市场</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如上所述</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下游：广州市商品住宅开发和销售市场</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如上所述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87"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上游：房屋建筑工程施工服务市场</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下游：商品住宅开发和销售市场</w:t>
                  </w:r>
                </w:p>
              </w:tc>
              <w:tc>
                <w:tcPr>
                  <w:tcW w:w="1843"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上游：中国境内</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下游：广州市</w:t>
                  </w:r>
                </w:p>
              </w:tc>
              <w:tc>
                <w:tcPr>
                  <w:tcW w:w="3544" w:type="dxa"/>
                  <w:shd w:val="clear" w:color="auto" w:fill="auto"/>
                  <w:noWrap w:val="0"/>
                  <w:vAlign w:val="top"/>
                </w:tcPr>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上游：中国境内房屋建筑工程施工服务市场</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如上所述</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下游：广州市商品住宅开发和销售市场</w:t>
                  </w:r>
                </w:p>
                <w:p>
                  <w:pPr>
                    <w:pStyle w:val="2"/>
                    <w:keepNext w:val="0"/>
                    <w:keepLines w:val="0"/>
                    <w:pageBreakBefore w:val="0"/>
                    <w:widowControl w:val="0"/>
                    <w:kinsoku/>
                    <w:wordWrap/>
                    <w:overflowPunct/>
                    <w:topLinePunct w:val="0"/>
                    <w:autoSpaceDE/>
                    <w:autoSpaceDN/>
                    <w:bidi w:val="0"/>
                    <w:adjustRightInd w:val="0"/>
                    <w:snapToGrid w:val="0"/>
                    <w:spacing w:after="0" w:line="320" w:lineRule="exact"/>
                    <w:textAlignment w:val="auto"/>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eastAsia="zh-CN"/>
                    </w:rPr>
                    <w:t>如上所述</w:t>
                  </w:r>
                </w:p>
              </w:tc>
            </w:tr>
          </w:tbl>
          <w:p>
            <w:pPr>
              <w:pStyle w:val="2"/>
              <w:adjustRightInd w:val="0"/>
              <w:snapToGrid w:val="0"/>
              <w:spacing w:after="0"/>
              <w:rPr>
                <w:rFonts w:hint="eastAsia" w:ascii="宋体" w:hAnsi="宋体" w:cs="宋体"/>
                <w:bCs/>
                <w:color w:val="000000"/>
                <w:lang w:eastAsia="zh-CN"/>
              </w:rPr>
            </w:pPr>
          </w:p>
        </w:tc>
      </w:tr>
    </w:tbl>
    <w:p>
      <w:pPr>
        <w:adjustRightInd w:val="0"/>
        <w:snapToGrid w:val="0"/>
        <w:rPr>
          <w:rFonts w:hint="default" w:ascii="Times New Roman" w:hAnsi="Times New Roman" w:cs="Times New Roman" w:eastAsiaTheme="minorEastAsia"/>
        </w:rPr>
      </w:pPr>
    </w:p>
    <w:p>
      <w:pPr>
        <w:rPr>
          <w:rFonts w:hint="default" w:ascii="Times New Roman" w:hAnsi="Times New Roman" w:cs="Times New Roman" w:eastAsiaTheme="minorEastAsia"/>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false"/>
  <w:bordersDoNotSurroundFooter w:val="fals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E80370"/>
    <w:rsid w:val="00F63099"/>
    <w:rsid w:val="00F7053E"/>
    <w:rsid w:val="00F90810"/>
    <w:rsid w:val="00FD5EA5"/>
    <w:rsid w:val="00FF42DD"/>
    <w:rsid w:val="011DF4EB"/>
    <w:rsid w:val="01B165CE"/>
    <w:rsid w:val="020779C8"/>
    <w:rsid w:val="0217304F"/>
    <w:rsid w:val="02515359"/>
    <w:rsid w:val="02F70103"/>
    <w:rsid w:val="030806B1"/>
    <w:rsid w:val="03324750"/>
    <w:rsid w:val="03490091"/>
    <w:rsid w:val="03D70EC9"/>
    <w:rsid w:val="04B425C4"/>
    <w:rsid w:val="04B85AFF"/>
    <w:rsid w:val="05AB50DB"/>
    <w:rsid w:val="06075F29"/>
    <w:rsid w:val="072729B8"/>
    <w:rsid w:val="07D6476B"/>
    <w:rsid w:val="087232C3"/>
    <w:rsid w:val="08D6542E"/>
    <w:rsid w:val="08ED34FD"/>
    <w:rsid w:val="093446A7"/>
    <w:rsid w:val="09E21081"/>
    <w:rsid w:val="0A5F7534"/>
    <w:rsid w:val="0AF22185"/>
    <w:rsid w:val="0B1835C3"/>
    <w:rsid w:val="0B63273E"/>
    <w:rsid w:val="0BD91CE7"/>
    <w:rsid w:val="0C554F7A"/>
    <w:rsid w:val="0C6B60D7"/>
    <w:rsid w:val="0D1F1C05"/>
    <w:rsid w:val="0D4B3979"/>
    <w:rsid w:val="0DE526A7"/>
    <w:rsid w:val="0E5C7E9D"/>
    <w:rsid w:val="0EEC791B"/>
    <w:rsid w:val="0F272A69"/>
    <w:rsid w:val="0F2B249C"/>
    <w:rsid w:val="0F5D3273"/>
    <w:rsid w:val="0FA436B7"/>
    <w:rsid w:val="0FBBC6D8"/>
    <w:rsid w:val="0FCA58AB"/>
    <w:rsid w:val="10C02711"/>
    <w:rsid w:val="11D03D09"/>
    <w:rsid w:val="11EC5ABD"/>
    <w:rsid w:val="12ED74AA"/>
    <w:rsid w:val="130B6D76"/>
    <w:rsid w:val="13236AF1"/>
    <w:rsid w:val="13D6674E"/>
    <w:rsid w:val="13DB5B12"/>
    <w:rsid w:val="148B0637"/>
    <w:rsid w:val="150C1E94"/>
    <w:rsid w:val="150D2643"/>
    <w:rsid w:val="15D94F21"/>
    <w:rsid w:val="15E47716"/>
    <w:rsid w:val="164E6A70"/>
    <w:rsid w:val="1680064E"/>
    <w:rsid w:val="170576D4"/>
    <w:rsid w:val="17436509"/>
    <w:rsid w:val="18ED6A59"/>
    <w:rsid w:val="19533EE7"/>
    <w:rsid w:val="199476C8"/>
    <w:rsid w:val="1A9B628C"/>
    <w:rsid w:val="1AA11230"/>
    <w:rsid w:val="1AEB0D31"/>
    <w:rsid w:val="1AFD138A"/>
    <w:rsid w:val="1B2D6269"/>
    <w:rsid w:val="1BF9394B"/>
    <w:rsid w:val="1BF9AB71"/>
    <w:rsid w:val="1C361957"/>
    <w:rsid w:val="1CC31397"/>
    <w:rsid w:val="1D3E3472"/>
    <w:rsid w:val="1D8B4DA1"/>
    <w:rsid w:val="1DA24124"/>
    <w:rsid w:val="1DFE30C6"/>
    <w:rsid w:val="1E0E6138"/>
    <w:rsid w:val="1EBD1724"/>
    <w:rsid w:val="1F2073B8"/>
    <w:rsid w:val="1FC81833"/>
    <w:rsid w:val="1FE72BC6"/>
    <w:rsid w:val="20815B54"/>
    <w:rsid w:val="20C2797E"/>
    <w:rsid w:val="215B059A"/>
    <w:rsid w:val="21BD7D11"/>
    <w:rsid w:val="22151D28"/>
    <w:rsid w:val="24606B41"/>
    <w:rsid w:val="246736EB"/>
    <w:rsid w:val="24840815"/>
    <w:rsid w:val="24BE4747"/>
    <w:rsid w:val="25C17900"/>
    <w:rsid w:val="261144B9"/>
    <w:rsid w:val="27B435B3"/>
    <w:rsid w:val="27ED6C10"/>
    <w:rsid w:val="281C288D"/>
    <w:rsid w:val="283265FA"/>
    <w:rsid w:val="28361ADD"/>
    <w:rsid w:val="289A6D28"/>
    <w:rsid w:val="29CC61D1"/>
    <w:rsid w:val="2B795B9C"/>
    <w:rsid w:val="2C0C7CCC"/>
    <w:rsid w:val="2CAC25FF"/>
    <w:rsid w:val="2D0217A7"/>
    <w:rsid w:val="2D522E91"/>
    <w:rsid w:val="2DD36092"/>
    <w:rsid w:val="2DE926AB"/>
    <w:rsid w:val="2DFF8C0F"/>
    <w:rsid w:val="2ECF569F"/>
    <w:rsid w:val="2F0902B7"/>
    <w:rsid w:val="3025112D"/>
    <w:rsid w:val="306F1D95"/>
    <w:rsid w:val="30E34499"/>
    <w:rsid w:val="31687D65"/>
    <w:rsid w:val="319E78FD"/>
    <w:rsid w:val="32D87CB9"/>
    <w:rsid w:val="33291F9F"/>
    <w:rsid w:val="332B297E"/>
    <w:rsid w:val="339B1A7D"/>
    <w:rsid w:val="33E34AE7"/>
    <w:rsid w:val="341C1B03"/>
    <w:rsid w:val="34390907"/>
    <w:rsid w:val="34527864"/>
    <w:rsid w:val="356065C1"/>
    <w:rsid w:val="35741F7B"/>
    <w:rsid w:val="35794D49"/>
    <w:rsid w:val="35927D49"/>
    <w:rsid w:val="35AA4056"/>
    <w:rsid w:val="36647739"/>
    <w:rsid w:val="36722108"/>
    <w:rsid w:val="36785717"/>
    <w:rsid w:val="36A67819"/>
    <w:rsid w:val="37736187"/>
    <w:rsid w:val="37EC4B4C"/>
    <w:rsid w:val="3A7D25F4"/>
    <w:rsid w:val="3B6C128B"/>
    <w:rsid w:val="3BF42FA2"/>
    <w:rsid w:val="3C1B3849"/>
    <w:rsid w:val="3CC445B4"/>
    <w:rsid w:val="3DBE0E38"/>
    <w:rsid w:val="3DCF2C73"/>
    <w:rsid w:val="3E3B322A"/>
    <w:rsid w:val="3EB7365E"/>
    <w:rsid w:val="3EBE2D3F"/>
    <w:rsid w:val="3ED7D01C"/>
    <w:rsid w:val="3EE73D98"/>
    <w:rsid w:val="3F7A2500"/>
    <w:rsid w:val="3FFFF7A9"/>
    <w:rsid w:val="40D7777E"/>
    <w:rsid w:val="40E3190E"/>
    <w:rsid w:val="4129118D"/>
    <w:rsid w:val="41D779C0"/>
    <w:rsid w:val="42321102"/>
    <w:rsid w:val="436E421B"/>
    <w:rsid w:val="437F5943"/>
    <w:rsid w:val="43E353FE"/>
    <w:rsid w:val="443133A9"/>
    <w:rsid w:val="443B7D84"/>
    <w:rsid w:val="45A801C9"/>
    <w:rsid w:val="45E92E66"/>
    <w:rsid w:val="46845245"/>
    <w:rsid w:val="46F216C3"/>
    <w:rsid w:val="48247180"/>
    <w:rsid w:val="48567BBA"/>
    <w:rsid w:val="48604985"/>
    <w:rsid w:val="48C332AF"/>
    <w:rsid w:val="495C1AB7"/>
    <w:rsid w:val="49857111"/>
    <w:rsid w:val="498A72A0"/>
    <w:rsid w:val="4B44740D"/>
    <w:rsid w:val="4B4B34EE"/>
    <w:rsid w:val="4C824703"/>
    <w:rsid w:val="4CC01CF8"/>
    <w:rsid w:val="4CFD75DE"/>
    <w:rsid w:val="4D022B50"/>
    <w:rsid w:val="4D533669"/>
    <w:rsid w:val="4D611881"/>
    <w:rsid w:val="4D782049"/>
    <w:rsid w:val="4DB67BAD"/>
    <w:rsid w:val="4DBF710D"/>
    <w:rsid w:val="4E585190"/>
    <w:rsid w:val="4E626EA5"/>
    <w:rsid w:val="4F7D0643"/>
    <w:rsid w:val="505C355C"/>
    <w:rsid w:val="50CB3BDA"/>
    <w:rsid w:val="510C31D4"/>
    <w:rsid w:val="511505E7"/>
    <w:rsid w:val="516923D4"/>
    <w:rsid w:val="51E24880"/>
    <w:rsid w:val="5275657D"/>
    <w:rsid w:val="53035CDB"/>
    <w:rsid w:val="53085941"/>
    <w:rsid w:val="53701092"/>
    <w:rsid w:val="53DE53F7"/>
    <w:rsid w:val="549363D0"/>
    <w:rsid w:val="54A03EDC"/>
    <w:rsid w:val="54D26C3D"/>
    <w:rsid w:val="54DD7AC9"/>
    <w:rsid w:val="55413F6A"/>
    <w:rsid w:val="556C3BF9"/>
    <w:rsid w:val="558A3AEC"/>
    <w:rsid w:val="55FF4F39"/>
    <w:rsid w:val="563C0C84"/>
    <w:rsid w:val="567C47AD"/>
    <w:rsid w:val="567F8596"/>
    <w:rsid w:val="568C7EFA"/>
    <w:rsid w:val="5721053D"/>
    <w:rsid w:val="5777F63A"/>
    <w:rsid w:val="59206465"/>
    <w:rsid w:val="59475512"/>
    <w:rsid w:val="59927FEE"/>
    <w:rsid w:val="599B7F54"/>
    <w:rsid w:val="59D80FE8"/>
    <w:rsid w:val="59F24B7E"/>
    <w:rsid w:val="5A320350"/>
    <w:rsid w:val="5A4E1134"/>
    <w:rsid w:val="5A8F5421"/>
    <w:rsid w:val="5AAB1367"/>
    <w:rsid w:val="5AB377AC"/>
    <w:rsid w:val="5ADB7A9F"/>
    <w:rsid w:val="5BDF7AA8"/>
    <w:rsid w:val="5C3A530B"/>
    <w:rsid w:val="5CC770F3"/>
    <w:rsid w:val="5DE93B9C"/>
    <w:rsid w:val="5DFF5221"/>
    <w:rsid w:val="5E606197"/>
    <w:rsid w:val="5E758AD3"/>
    <w:rsid w:val="5E872C42"/>
    <w:rsid w:val="5EFFEB53"/>
    <w:rsid w:val="5F3A59C0"/>
    <w:rsid w:val="5F3C2655"/>
    <w:rsid w:val="5F4C72AD"/>
    <w:rsid w:val="5F5B3889"/>
    <w:rsid w:val="5F7404E1"/>
    <w:rsid w:val="60B85CFA"/>
    <w:rsid w:val="612E3045"/>
    <w:rsid w:val="61A5531E"/>
    <w:rsid w:val="61AC7C2D"/>
    <w:rsid w:val="61F32521"/>
    <w:rsid w:val="62FE2ACC"/>
    <w:rsid w:val="639826A5"/>
    <w:rsid w:val="63CE0698"/>
    <w:rsid w:val="63F6661D"/>
    <w:rsid w:val="64990483"/>
    <w:rsid w:val="64F94FB6"/>
    <w:rsid w:val="64FF0119"/>
    <w:rsid w:val="650C61D5"/>
    <w:rsid w:val="65183212"/>
    <w:rsid w:val="654F569B"/>
    <w:rsid w:val="65AC0421"/>
    <w:rsid w:val="65C94540"/>
    <w:rsid w:val="67090219"/>
    <w:rsid w:val="67532E54"/>
    <w:rsid w:val="6754015D"/>
    <w:rsid w:val="676B6497"/>
    <w:rsid w:val="677B0DDC"/>
    <w:rsid w:val="67885F66"/>
    <w:rsid w:val="67D469E8"/>
    <w:rsid w:val="67DB7BB9"/>
    <w:rsid w:val="685D233B"/>
    <w:rsid w:val="68E175B6"/>
    <w:rsid w:val="68ED6FEF"/>
    <w:rsid w:val="69C0748D"/>
    <w:rsid w:val="6A7D30C3"/>
    <w:rsid w:val="6ABB6FCD"/>
    <w:rsid w:val="6B3D31B5"/>
    <w:rsid w:val="6B9261CD"/>
    <w:rsid w:val="6B9A71CB"/>
    <w:rsid w:val="6BCB1BF4"/>
    <w:rsid w:val="6BCC0CB3"/>
    <w:rsid w:val="6C45316D"/>
    <w:rsid w:val="6CA45D41"/>
    <w:rsid w:val="6CBF87B4"/>
    <w:rsid w:val="6DC30C82"/>
    <w:rsid w:val="6DEFBAE0"/>
    <w:rsid w:val="6E372E5F"/>
    <w:rsid w:val="6E3FE820"/>
    <w:rsid w:val="6E786ABC"/>
    <w:rsid w:val="6E954194"/>
    <w:rsid w:val="6EB3303A"/>
    <w:rsid w:val="6EBE3907"/>
    <w:rsid w:val="6F538C10"/>
    <w:rsid w:val="6FDF5799"/>
    <w:rsid w:val="710A7485"/>
    <w:rsid w:val="71394751"/>
    <w:rsid w:val="71402523"/>
    <w:rsid w:val="71753CA1"/>
    <w:rsid w:val="72131803"/>
    <w:rsid w:val="723024E6"/>
    <w:rsid w:val="73026B48"/>
    <w:rsid w:val="730B4C41"/>
    <w:rsid w:val="74566BED"/>
    <w:rsid w:val="74CE550B"/>
    <w:rsid w:val="74FA9F2D"/>
    <w:rsid w:val="755F49C7"/>
    <w:rsid w:val="767FE0B3"/>
    <w:rsid w:val="76AFBFF1"/>
    <w:rsid w:val="76CA40F3"/>
    <w:rsid w:val="77527FDF"/>
    <w:rsid w:val="77AFF4F6"/>
    <w:rsid w:val="77FF6A8C"/>
    <w:rsid w:val="77FFCFC3"/>
    <w:rsid w:val="78410251"/>
    <w:rsid w:val="793FB7A1"/>
    <w:rsid w:val="7A66B182"/>
    <w:rsid w:val="7A9C06E1"/>
    <w:rsid w:val="7AB91678"/>
    <w:rsid w:val="7B8F578C"/>
    <w:rsid w:val="7B9A66EF"/>
    <w:rsid w:val="7BAB6FC2"/>
    <w:rsid w:val="7BE411F0"/>
    <w:rsid w:val="7BFFD823"/>
    <w:rsid w:val="7C235B45"/>
    <w:rsid w:val="7C7918BC"/>
    <w:rsid w:val="7CCB66D7"/>
    <w:rsid w:val="7D6F58DB"/>
    <w:rsid w:val="7D7A30EF"/>
    <w:rsid w:val="7DCE664D"/>
    <w:rsid w:val="7EE72273"/>
    <w:rsid w:val="7EF16FA7"/>
    <w:rsid w:val="7EF7CDD2"/>
    <w:rsid w:val="7F23145A"/>
    <w:rsid w:val="7F7BEB9D"/>
    <w:rsid w:val="7FBF2495"/>
    <w:rsid w:val="7FDCAB43"/>
    <w:rsid w:val="7FE15510"/>
    <w:rsid w:val="7FE91E78"/>
    <w:rsid w:val="7FF500C7"/>
    <w:rsid w:val="7FFDE69B"/>
    <w:rsid w:val="9CBD0B1A"/>
    <w:rsid w:val="A7F9C1DE"/>
    <w:rsid w:val="A9AD231D"/>
    <w:rsid w:val="ADFAC79E"/>
    <w:rsid w:val="AE7E1E17"/>
    <w:rsid w:val="B593FB7D"/>
    <w:rsid w:val="B9B92832"/>
    <w:rsid w:val="BCB7048F"/>
    <w:rsid w:val="BCF89F06"/>
    <w:rsid w:val="BEAF73DD"/>
    <w:rsid w:val="BF8E36EE"/>
    <w:rsid w:val="BFDFB85E"/>
    <w:rsid w:val="BFF739EC"/>
    <w:rsid w:val="C3F5BA26"/>
    <w:rsid w:val="D5DB8D8A"/>
    <w:rsid w:val="D9F4D0D4"/>
    <w:rsid w:val="DDEFBA43"/>
    <w:rsid w:val="DEAFB90F"/>
    <w:rsid w:val="DF21B821"/>
    <w:rsid w:val="DFD76A11"/>
    <w:rsid w:val="E7FFE685"/>
    <w:rsid w:val="E9F71F09"/>
    <w:rsid w:val="EAFD8D58"/>
    <w:rsid w:val="EB6C770B"/>
    <w:rsid w:val="EBCD181E"/>
    <w:rsid w:val="EFFFDD70"/>
    <w:rsid w:val="F1B778F1"/>
    <w:rsid w:val="F3FF743F"/>
    <w:rsid w:val="F4FF55F7"/>
    <w:rsid w:val="F7EFF966"/>
    <w:rsid w:val="F7FD911C"/>
    <w:rsid w:val="F9DF2CA6"/>
    <w:rsid w:val="FB3326CC"/>
    <w:rsid w:val="FBCE4D19"/>
    <w:rsid w:val="FBFE1D07"/>
    <w:rsid w:val="FDBF10AA"/>
    <w:rsid w:val="FE5FA0A2"/>
    <w:rsid w:val="FEAEC70B"/>
    <w:rsid w:val="FF57FBD6"/>
    <w:rsid w:val="FFB70466"/>
    <w:rsid w:val="FFBC3961"/>
    <w:rsid w:val="FFCF003E"/>
    <w:rsid w:val="FFEE6CF6"/>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8"/>
    <w:unhideWhenUsed/>
    <w:qFormat/>
    <w:uiPriority w:val="99"/>
    <w:pPr>
      <w:spacing w:after="120"/>
    </w:pPr>
  </w:style>
  <w:style w:type="paragraph" w:customStyle="1" w:styleId="4">
    <w:name w:val="名称2"/>
    <w:basedOn w:val="5"/>
    <w:qFormat/>
    <w:uiPriority w:val="0"/>
    <w:pPr>
      <w:spacing w:after="312" w:afterLines="100"/>
    </w:pPr>
    <w:rPr>
      <w:b w:val="0"/>
      <w:sz w:val="20"/>
    </w:rPr>
  </w:style>
  <w:style w:type="paragraph" w:customStyle="1" w:styleId="5">
    <w:name w:val="名称"/>
    <w:basedOn w:val="1"/>
    <w:qFormat/>
    <w:uiPriority w:val="0"/>
    <w:pPr>
      <w:jc w:val="center"/>
    </w:pPr>
    <w:rPr>
      <w:b/>
      <w:kern w:val="0"/>
      <w:sz w:val="44"/>
      <w:szCs w:val="20"/>
    </w:rPr>
  </w:style>
  <w:style w:type="paragraph" w:styleId="6">
    <w:name w:val="Normal Indent"/>
    <w:basedOn w:val="1"/>
    <w:next w:val="1"/>
    <w:qFormat/>
    <w:uiPriority w:val="99"/>
  </w:style>
  <w:style w:type="paragraph" w:styleId="7">
    <w:name w:val="annotation text"/>
    <w:basedOn w:val="1"/>
    <w:qFormat/>
    <w:uiPriority w:val="0"/>
    <w:pPr>
      <w:jc w:val="left"/>
    </w:pPr>
  </w:style>
  <w:style w:type="paragraph" w:styleId="8">
    <w:name w:val="footer"/>
    <w:basedOn w:val="1"/>
    <w:link w:val="17"/>
    <w:qFormat/>
    <w:uiPriority w:val="0"/>
    <w:pPr>
      <w:tabs>
        <w:tab w:val="center" w:pos="4153"/>
        <w:tab w:val="right" w:pos="8306"/>
      </w:tabs>
      <w:snapToGrid w:val="0"/>
      <w:jc w:val="left"/>
    </w:pPr>
    <w:rPr>
      <w:sz w:val="18"/>
      <w:szCs w:val="18"/>
    </w:rPr>
  </w:style>
  <w:style w:type="paragraph" w:styleId="9">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rFonts w:ascii="Times New Roman" w:hAnsi="Times New Roman" w:eastAsia="宋体"/>
      <w:sz w:val="30"/>
    </w:rPr>
  </w:style>
  <w:style w:type="paragraph" w:styleId="11">
    <w:name w:val="Body Text First Indent"/>
    <w:basedOn w:val="2"/>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customStyle="1" w:styleId="16">
    <w:name w:val="页眉 字符"/>
    <w:basedOn w:val="14"/>
    <w:link w:val="9"/>
    <w:qFormat/>
    <w:uiPriority w:val="0"/>
    <w:rPr>
      <w:rFonts w:ascii="Times New Roman" w:hAnsi="Times New Roman" w:eastAsia="宋体" w:cs="Times New Roman"/>
      <w:kern w:val="2"/>
      <w:sz w:val="18"/>
      <w:szCs w:val="18"/>
    </w:rPr>
  </w:style>
  <w:style w:type="character" w:customStyle="1" w:styleId="17">
    <w:name w:val="页脚 字符"/>
    <w:basedOn w:val="14"/>
    <w:link w:val="8"/>
    <w:qFormat/>
    <w:uiPriority w:val="0"/>
    <w:rPr>
      <w:rFonts w:ascii="Times New Roman" w:hAnsi="Times New Roman" w:eastAsia="宋体" w:cs="Times New Roman"/>
      <w:kern w:val="2"/>
      <w:sz w:val="18"/>
      <w:szCs w:val="18"/>
    </w:rPr>
  </w:style>
  <w:style w:type="character" w:customStyle="1" w:styleId="18">
    <w:name w:val="正文文本 字符"/>
    <w:basedOn w:val="14"/>
    <w:link w:val="2"/>
    <w:qFormat/>
    <w:uiPriority w:val="99"/>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8"/>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6</Pages>
  <Words>1805</Words>
  <Characters>1934</Characters>
  <Lines>1</Lines>
  <Paragraphs>1</Paragraphs>
  <TotalTime>3825</TotalTime>
  <ScaleCrop>false</ScaleCrop>
  <LinksUpToDate>false</LinksUpToDate>
  <CharactersWithSpaces>2056</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2023-02-27T01:34:00Z</dcterms:created>
  <dc:creator>张斌（反垄断处）</dc:creator>
  <cp:lastModifiedBy>邱伟</cp:lastModifiedBy>
  <cp:lastPrinted>2024-08-01T09:27:00Z</cp:lastPrinted>
  <dcterms:modified xsi:type="dcterms:W3CDTF">2024-11-26T15:52:08Z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FEF1476D819B021FE91444670E42F3E8</vt:lpwstr>
  </property>
</Properties>
</file>