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eastAsia" w:ascii="黑体" w:hAnsi="黑体" w:eastAsia="黑体" w:cs="黑体"/>
          <w:bCs/>
          <w:kern w:val="0"/>
          <w:sz w:val="36"/>
          <w:szCs w:val="36"/>
          <w:lang w:val="en-GB" w:bidi="ar-AE"/>
        </w:rPr>
      </w:pPr>
      <w:bookmarkStart w:id="0" w:name="_GoBack"/>
      <w:bookmarkEnd w:id="0"/>
      <w:r>
        <w:rPr>
          <w:rFonts w:hint="eastAsia" w:ascii="方正小标宋_GBK" w:hAnsi="方正小标宋_GBK" w:eastAsia="方正小标宋_GBK" w:cs="方正小标宋_GBK"/>
          <w:kern w:val="0"/>
          <w:sz w:val="44"/>
          <w:szCs w:val="44"/>
          <w:lang w:val="en-GB" w:bidi="ar-AE"/>
        </w:rPr>
        <w:t>经营者集中简易案件公示表</w:t>
      </w:r>
    </w:p>
    <w:tbl>
      <w:tblPr>
        <w:tblStyle w:val="4"/>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746"/>
        <w:gridCol w:w="59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eastAsia="en-GB" w:bidi="ar-AE"/>
              </w:rPr>
            </w:pPr>
            <w:r>
              <w:rPr>
                <w:rFonts w:hint="eastAsia" w:ascii="Times New Roman" w:hAnsi="Times New Roman" w:eastAsia="宋体" w:cs="宋体"/>
                <w:bCs/>
                <w:color w:val="000000"/>
                <w:kern w:val="0"/>
                <w:sz w:val="24"/>
                <w:szCs w:val="24"/>
                <w:lang w:val="en-GB" w:eastAsia="en-GB" w:bidi="ar-AE"/>
              </w:rPr>
              <w:t>案件名称</w:t>
            </w: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t>贵州讯飞超脑科技有限公司与贵州贵安云智数字科技有限公司新设合营企业案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t>交易概况（限200字内）</w:t>
            </w:r>
          </w:p>
        </w:tc>
        <w:tc>
          <w:tcPr>
            <w:tcW w:w="7700" w:type="dxa"/>
            <w:gridSpan w:val="2"/>
            <w:vAlign w:val="center"/>
          </w:tcPr>
          <w:p>
            <w:pPr>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贵州讯飞超脑科技有限公司（“</w:t>
            </w:r>
            <w:r>
              <w:rPr>
                <w:rFonts w:hint="eastAsia" w:ascii="Times New Roman" w:hAnsi="Times New Roman" w:eastAsia="宋体" w:cs="宋体"/>
                <w:b/>
                <w:color w:val="000000"/>
                <w:kern w:val="0"/>
                <w:sz w:val="24"/>
                <w:szCs w:val="24"/>
                <w:lang w:val="en-GB" w:bidi="ar-AE"/>
              </w:rPr>
              <w:t>贵州讯飞</w:t>
            </w:r>
            <w:r>
              <w:rPr>
                <w:rFonts w:hint="eastAsia" w:ascii="Times New Roman" w:hAnsi="Times New Roman" w:eastAsia="宋体" w:cs="宋体"/>
                <w:bCs/>
                <w:color w:val="000000"/>
                <w:kern w:val="0"/>
                <w:sz w:val="24"/>
                <w:szCs w:val="24"/>
                <w:lang w:val="en-GB" w:bidi="ar-AE"/>
              </w:rPr>
              <w:t>”）与贵州贵安云智数字科技有限公司（“</w:t>
            </w:r>
            <w:r>
              <w:rPr>
                <w:rFonts w:hint="eastAsia" w:ascii="Times New Roman" w:hAnsi="Times New Roman" w:eastAsia="宋体" w:cs="宋体"/>
                <w:b/>
                <w:color w:val="000000"/>
                <w:kern w:val="0"/>
                <w:sz w:val="24"/>
                <w:szCs w:val="24"/>
                <w:lang w:val="en-GB" w:bidi="ar-AE"/>
              </w:rPr>
              <w:t>云智科技</w:t>
            </w:r>
            <w:r>
              <w:rPr>
                <w:rFonts w:hint="eastAsia" w:ascii="Times New Roman" w:hAnsi="Times New Roman" w:eastAsia="宋体" w:cs="宋体"/>
                <w:bCs/>
                <w:color w:val="000000"/>
                <w:kern w:val="0"/>
                <w:sz w:val="24"/>
                <w:szCs w:val="24"/>
                <w:lang w:val="en-GB" w:bidi="ar-AE"/>
              </w:rPr>
              <w:t>”）签署《合资协议》，拟共同新设一家合营企业，贵州讯飞和云智科技将分别持有合营企业50%的股权（“</w:t>
            </w:r>
            <w:r>
              <w:rPr>
                <w:rFonts w:hint="eastAsia" w:ascii="Times New Roman" w:hAnsi="Times New Roman" w:eastAsia="宋体" w:cs="宋体"/>
                <w:b/>
                <w:color w:val="000000"/>
                <w:kern w:val="0"/>
                <w:sz w:val="24"/>
                <w:szCs w:val="24"/>
                <w:lang w:val="en-GB" w:bidi="ar-AE"/>
              </w:rPr>
              <w:t>本次交易</w:t>
            </w:r>
            <w:r>
              <w:rPr>
                <w:rFonts w:hint="eastAsia" w:ascii="Times New Roman" w:hAnsi="Times New Roman" w:eastAsia="宋体" w:cs="宋体"/>
                <w:bCs/>
                <w:color w:val="000000"/>
                <w:kern w:val="0"/>
                <w:sz w:val="24"/>
                <w:szCs w:val="24"/>
                <w:lang w:val="en-GB" w:bidi="ar-AE"/>
              </w:rPr>
              <w:t>”）。合营企业将主要在中国境内从事智慧园区解决方案、智慧教育解决方案以及</w:t>
            </w:r>
            <w:r>
              <w:rPr>
                <w:rFonts w:ascii="Times New Roman" w:hAnsi="Times New Roman" w:eastAsia="宋体" w:cs="Arial"/>
                <w:color w:val="000000"/>
                <w:kern w:val="0"/>
                <w:sz w:val="24"/>
                <w:szCs w:val="24"/>
                <w:lang w:val="en-GB" w:bidi="ar-AE"/>
              </w:rPr>
              <w:t>医疗信息系统开发运营业务</w:t>
            </w:r>
            <w:r>
              <w:rPr>
                <w:rFonts w:hint="eastAsia" w:ascii="Times New Roman" w:hAnsi="Times New Roman" w:eastAsia="宋体" w:cs="Arial"/>
                <w:color w:val="000000"/>
                <w:kern w:val="0"/>
                <w:sz w:val="24"/>
                <w:szCs w:val="24"/>
                <w:lang w:val="en-GB" w:bidi="ar-AE"/>
              </w:rPr>
              <w:t>。本次交易后，贵州讯飞和云智科技将共同控制合营企业。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t>参与集中的经营者简介（每个限</w:t>
            </w:r>
            <w:r>
              <w:rPr>
                <w:rFonts w:hint="eastAsia" w:ascii="Times New Roman" w:hAnsi="Times New Roman" w:eastAsia="宋体" w:cs="宋体"/>
                <w:bCs/>
                <w:color w:val="000000"/>
                <w:kern w:val="0"/>
                <w:sz w:val="24"/>
                <w:szCs w:val="24"/>
                <w:lang w:bidi="ar-AE"/>
              </w:rPr>
              <w:t>100字以内</w:t>
            </w:r>
            <w:r>
              <w:rPr>
                <w:rFonts w:hint="eastAsia" w:ascii="Times New Roman" w:hAnsi="Times New Roman" w:eastAsia="宋体" w:cs="宋体"/>
                <w:bCs/>
                <w:color w:val="000000"/>
                <w:kern w:val="0"/>
                <w:sz w:val="24"/>
                <w:szCs w:val="24"/>
                <w:lang w:val="en-GB" w:bidi="ar-AE"/>
              </w:rPr>
              <w:t>）</w:t>
            </w:r>
          </w:p>
        </w:tc>
        <w:tc>
          <w:tcPr>
            <w:tcW w:w="1746" w:type="dxa"/>
            <w:vAlign w:val="center"/>
          </w:tcPr>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bidi="ar-AE"/>
              </w:rPr>
              <w:t>1.</w:t>
            </w:r>
            <w:r>
              <w:rPr>
                <w:rFonts w:hint="eastAsia" w:ascii="Times New Roman" w:hAnsi="Times New Roman" w:eastAsia="宋体" w:cs="宋体"/>
                <w:bCs/>
                <w:color w:val="000000"/>
                <w:kern w:val="0"/>
                <w:sz w:val="24"/>
                <w:szCs w:val="24"/>
                <w:lang w:val="en-GB" w:bidi="ar-AE"/>
              </w:rPr>
              <w:t>贵州讯飞</w:t>
            </w:r>
          </w:p>
        </w:tc>
        <w:tc>
          <w:tcPr>
            <w:tcW w:w="5954" w:type="dxa"/>
            <w:vAlign w:val="center"/>
          </w:tcPr>
          <w:p>
            <w:pPr>
              <w:widowControl/>
              <w:adjustRightInd w:val="0"/>
              <w:snapToGrid w:val="0"/>
              <w:rPr>
                <w:rFonts w:hint="eastAsia" w:ascii="Times New Roman" w:hAnsi="Times New Roman" w:eastAsia="宋体" w:cs="宋体"/>
                <w:kern w:val="0"/>
                <w:sz w:val="24"/>
                <w:szCs w:val="24"/>
                <w:lang w:val="en-GB" w:bidi="ar-AE"/>
              </w:rPr>
            </w:pPr>
            <w:r>
              <w:rPr>
                <w:rFonts w:hint="eastAsia" w:ascii="Times New Roman" w:hAnsi="Times New Roman" w:eastAsia="宋体" w:cs="宋体"/>
                <w:kern w:val="0"/>
                <w:sz w:val="24"/>
                <w:szCs w:val="24"/>
                <w:lang w:val="en-GB" w:bidi="ar-AE"/>
              </w:rPr>
              <w:t>贵州讯飞于</w:t>
            </w:r>
            <w:r>
              <w:rPr>
                <w:rFonts w:ascii="Times New Roman" w:hAnsi="Times New Roman" w:eastAsia="宋体" w:cs="宋体"/>
                <w:kern w:val="0"/>
                <w:sz w:val="24"/>
                <w:szCs w:val="24"/>
                <w:lang w:val="en-GB" w:bidi="ar-AE"/>
              </w:rPr>
              <w:t>2020</w:t>
            </w:r>
            <w:r>
              <w:rPr>
                <w:rFonts w:hint="eastAsia" w:ascii="Times New Roman" w:hAnsi="Times New Roman" w:eastAsia="宋体" w:cs="宋体"/>
                <w:kern w:val="0"/>
                <w:sz w:val="24"/>
                <w:szCs w:val="24"/>
                <w:lang w:val="en-GB" w:bidi="ar-AE"/>
              </w:rPr>
              <w:t>年</w:t>
            </w:r>
            <w:r>
              <w:rPr>
                <w:rFonts w:ascii="Times New Roman" w:hAnsi="Times New Roman" w:eastAsia="宋体" w:cs="宋体"/>
                <w:kern w:val="0"/>
                <w:sz w:val="24"/>
                <w:szCs w:val="24"/>
                <w:lang w:val="en-GB" w:bidi="ar-AE"/>
              </w:rPr>
              <w:t>11</w:t>
            </w:r>
            <w:r>
              <w:rPr>
                <w:rFonts w:hint="eastAsia" w:ascii="Times New Roman" w:hAnsi="Times New Roman" w:eastAsia="宋体" w:cs="宋体"/>
                <w:kern w:val="0"/>
                <w:sz w:val="24"/>
                <w:szCs w:val="24"/>
                <w:lang w:val="en-GB" w:bidi="ar-AE"/>
              </w:rPr>
              <w:t>月</w:t>
            </w:r>
            <w:r>
              <w:rPr>
                <w:rFonts w:ascii="Times New Roman" w:hAnsi="Times New Roman" w:eastAsia="宋体" w:cs="宋体"/>
                <w:kern w:val="0"/>
                <w:sz w:val="24"/>
                <w:szCs w:val="24"/>
                <w:lang w:val="en-GB" w:bidi="ar-AE"/>
              </w:rPr>
              <w:t>12</w:t>
            </w:r>
            <w:r>
              <w:rPr>
                <w:rFonts w:hint="eastAsia" w:ascii="Times New Roman" w:hAnsi="Times New Roman" w:eastAsia="宋体" w:cs="宋体"/>
                <w:kern w:val="0"/>
                <w:sz w:val="24"/>
                <w:szCs w:val="24"/>
                <w:lang w:val="en-GB" w:bidi="ar-AE"/>
              </w:rPr>
              <w:t>日成立于中国贵州省，主要在中国境内从事人工智能技术在智慧园区、智慧医疗和智慧教育等行业的应用落地。</w:t>
            </w:r>
          </w:p>
          <w:p>
            <w:pPr>
              <w:widowControl/>
              <w:adjustRightInd w:val="0"/>
              <w:snapToGrid w:val="0"/>
              <w:rPr>
                <w:rFonts w:ascii="Times New Roman" w:hAnsi="Times New Roman" w:eastAsia="宋体" w:cs="宋体"/>
                <w:kern w:val="0"/>
                <w:sz w:val="24"/>
                <w:szCs w:val="24"/>
                <w:lang w:val="en-GB" w:bidi="ar-AE"/>
              </w:rPr>
            </w:pP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Simplified Arabic"/>
                <w:bCs/>
                <w:color w:val="000000"/>
                <w:kern w:val="0"/>
                <w:sz w:val="24"/>
                <w:szCs w:val="24"/>
                <w:lang w:bidi="ar-AE"/>
              </w:rPr>
              <w:t>贵州讯飞最终控制人为自然人刘庆峰及其一致行动人，主要从事科技成果转化和推广等业务。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p>
        </w:tc>
        <w:tc>
          <w:tcPr>
            <w:tcW w:w="1746" w:type="dxa"/>
            <w:vAlign w:val="center"/>
          </w:tcPr>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bidi="ar-AE"/>
              </w:rPr>
              <w:t>2.</w:t>
            </w:r>
            <w:r>
              <w:rPr>
                <w:rFonts w:hint="eastAsia" w:ascii="Times New Roman" w:hAnsi="Times New Roman" w:eastAsia="宋体" w:cs="宋体"/>
                <w:bCs/>
                <w:color w:val="000000"/>
                <w:kern w:val="0"/>
                <w:sz w:val="24"/>
                <w:szCs w:val="24"/>
                <w:lang w:val="en-GB" w:bidi="ar-AE"/>
              </w:rPr>
              <w:t>云智科技</w:t>
            </w:r>
          </w:p>
        </w:tc>
        <w:tc>
          <w:tcPr>
            <w:tcW w:w="5954" w:type="dxa"/>
            <w:vAlign w:val="center"/>
          </w:tcPr>
          <w:p>
            <w:pPr>
              <w:widowControl/>
              <w:adjustRightInd w:val="0"/>
              <w:snapToGrid w:val="0"/>
              <w:rPr>
                <w:rFonts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云智科技</w:t>
            </w:r>
            <w:r>
              <w:rPr>
                <w:rFonts w:ascii="Times New Roman" w:hAnsi="Times New Roman" w:eastAsia="宋体" w:cs="宋体"/>
                <w:bCs/>
                <w:color w:val="000000"/>
                <w:kern w:val="0"/>
                <w:sz w:val="24"/>
                <w:szCs w:val="24"/>
                <w:lang w:val="en-GB" w:bidi="ar-AE"/>
              </w:rPr>
              <w:t>于2024</w:t>
            </w:r>
            <w:r>
              <w:rPr>
                <w:rFonts w:hint="eastAsia" w:ascii="Times New Roman" w:hAnsi="Times New Roman" w:eastAsia="宋体" w:cs="宋体"/>
                <w:bCs/>
                <w:color w:val="000000"/>
                <w:kern w:val="0"/>
                <w:sz w:val="24"/>
                <w:szCs w:val="24"/>
                <w:lang w:val="en-GB" w:bidi="ar-AE"/>
              </w:rPr>
              <w:t>年</w:t>
            </w:r>
            <w:r>
              <w:rPr>
                <w:rFonts w:ascii="Times New Roman" w:hAnsi="Times New Roman" w:eastAsia="宋体" w:cs="宋体"/>
                <w:bCs/>
                <w:color w:val="000000"/>
                <w:kern w:val="0"/>
                <w:sz w:val="24"/>
                <w:szCs w:val="24"/>
                <w:lang w:val="en-GB" w:bidi="ar-AE"/>
              </w:rPr>
              <w:t>3</w:t>
            </w:r>
            <w:r>
              <w:rPr>
                <w:rFonts w:hint="eastAsia" w:ascii="Times New Roman" w:hAnsi="Times New Roman" w:eastAsia="宋体" w:cs="宋体"/>
                <w:bCs/>
                <w:color w:val="000000"/>
                <w:kern w:val="0"/>
                <w:sz w:val="24"/>
                <w:szCs w:val="24"/>
                <w:lang w:val="en-GB" w:bidi="ar-AE"/>
              </w:rPr>
              <w:t>月</w:t>
            </w:r>
            <w:r>
              <w:rPr>
                <w:rFonts w:ascii="Times New Roman" w:hAnsi="Times New Roman" w:eastAsia="宋体" w:cs="宋体"/>
                <w:bCs/>
                <w:color w:val="000000"/>
                <w:kern w:val="0"/>
                <w:sz w:val="24"/>
                <w:szCs w:val="24"/>
                <w:lang w:val="en-GB" w:bidi="ar-AE"/>
              </w:rPr>
              <w:t>25</w:t>
            </w:r>
            <w:r>
              <w:rPr>
                <w:rFonts w:hint="eastAsia" w:ascii="Times New Roman" w:hAnsi="Times New Roman" w:eastAsia="宋体" w:cs="宋体"/>
                <w:bCs/>
                <w:color w:val="000000"/>
                <w:kern w:val="0"/>
                <w:sz w:val="24"/>
                <w:szCs w:val="24"/>
                <w:lang w:val="en-GB" w:bidi="ar-AE"/>
              </w:rPr>
              <w:t>日</w:t>
            </w:r>
            <w:r>
              <w:rPr>
                <w:rFonts w:ascii="Times New Roman" w:hAnsi="Times New Roman" w:eastAsia="宋体" w:cs="宋体"/>
                <w:bCs/>
                <w:color w:val="000000"/>
                <w:kern w:val="0"/>
                <w:sz w:val="24"/>
                <w:szCs w:val="24"/>
                <w:lang w:val="en-GB" w:bidi="ar-AE"/>
              </w:rPr>
              <w:t>成立于</w:t>
            </w:r>
            <w:r>
              <w:rPr>
                <w:rFonts w:hint="eastAsia" w:ascii="Times New Roman" w:hAnsi="Times New Roman" w:eastAsia="宋体" w:cs="宋体"/>
                <w:bCs/>
                <w:color w:val="000000"/>
                <w:kern w:val="0"/>
                <w:sz w:val="24"/>
                <w:szCs w:val="24"/>
                <w:lang w:val="en-GB" w:bidi="ar-AE"/>
              </w:rPr>
              <w:t>中国贵州省</w:t>
            </w:r>
            <w:r>
              <w:rPr>
                <w:rFonts w:ascii="Times New Roman" w:hAnsi="Times New Roman" w:eastAsia="宋体" w:cs="宋体"/>
                <w:bCs/>
                <w:color w:val="000000"/>
                <w:kern w:val="0"/>
                <w:sz w:val="24"/>
                <w:szCs w:val="24"/>
                <w:lang w:val="en-GB" w:bidi="ar-AE"/>
              </w:rPr>
              <w:t>，</w:t>
            </w:r>
            <w:r>
              <w:rPr>
                <w:rFonts w:hint="eastAsia" w:ascii="Times New Roman" w:hAnsi="Times New Roman" w:eastAsia="宋体" w:cs="宋体"/>
                <w:bCs/>
                <w:color w:val="000000"/>
                <w:kern w:val="0"/>
                <w:sz w:val="24"/>
                <w:szCs w:val="24"/>
                <w:lang w:val="en-GB" w:bidi="ar-AE"/>
              </w:rPr>
              <w:t>主要从事云产品销售，算力销售，BIM业务，信息技术服务，集成服务业务</w:t>
            </w:r>
            <w:r>
              <w:rPr>
                <w:rFonts w:ascii="Times New Roman" w:hAnsi="Times New Roman" w:eastAsia="宋体" w:cs="宋体"/>
                <w:bCs/>
                <w:color w:val="000000"/>
                <w:kern w:val="0"/>
                <w:sz w:val="24"/>
                <w:szCs w:val="24"/>
                <w:lang w:val="en-GB" w:bidi="ar-AE"/>
              </w:rPr>
              <w:t>。</w:t>
            </w:r>
          </w:p>
          <w:p>
            <w:pPr>
              <w:widowControl/>
              <w:adjustRightInd w:val="0"/>
              <w:snapToGrid w:val="0"/>
              <w:rPr>
                <w:rFonts w:hint="eastAsia" w:ascii="Times New Roman" w:hAnsi="Times New Roman" w:eastAsia="宋体" w:cs="宋体"/>
                <w:bCs/>
                <w:color w:val="000000"/>
                <w:kern w:val="0"/>
                <w:sz w:val="24"/>
                <w:szCs w:val="24"/>
                <w:lang w:val="en-GB" w:bidi="ar-AE"/>
              </w:rPr>
            </w:pP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云智科技</w:t>
            </w:r>
            <w:r>
              <w:rPr>
                <w:rFonts w:ascii="Times New Roman" w:hAnsi="Times New Roman" w:eastAsia="宋体" w:cs="宋体"/>
                <w:bCs/>
                <w:color w:val="000000"/>
                <w:kern w:val="0"/>
                <w:sz w:val="24"/>
                <w:szCs w:val="24"/>
                <w:lang w:val="en-GB" w:bidi="ar-AE"/>
              </w:rPr>
              <w:t>最终控制人</w:t>
            </w:r>
            <w:r>
              <w:rPr>
                <w:rFonts w:hint="eastAsia" w:ascii="Times New Roman" w:hAnsi="Times New Roman" w:eastAsia="宋体" w:cs="宋体"/>
                <w:bCs/>
                <w:color w:val="000000"/>
                <w:kern w:val="0"/>
                <w:sz w:val="24"/>
                <w:szCs w:val="24"/>
                <w:lang w:val="en-GB" w:bidi="ar-AE"/>
              </w:rPr>
              <w:t>贵州贵安发展集团有限公司，主要从事建设投资、产城开发、城市运营、园区服务和金融服务业务</w:t>
            </w:r>
            <w:r>
              <w:rPr>
                <w:rFonts w:ascii="Times New Roman" w:hAnsi="Times New Roman" w:eastAsia="宋体" w:cs="宋体"/>
                <w:bCs/>
                <w:color w:val="000000"/>
                <w:kern w:val="0"/>
                <w:sz w:val="24"/>
                <w:szCs w:val="24"/>
                <w:lang w:val="en-GB"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t>简易案件理由（可以单选，也可以多选）</w:t>
            </w: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sym w:font="Wingdings" w:char="00A8"/>
            </w:r>
            <w:r>
              <w:rPr>
                <w:rFonts w:hint="eastAsia" w:ascii="Times New Roman" w:hAnsi="Times New Roman" w:eastAsia="宋体" w:cs="宋体"/>
                <w:bCs/>
                <w:color w:val="000000"/>
                <w:kern w:val="0"/>
                <w:sz w:val="24"/>
                <w:szCs w:val="24"/>
                <w:lang w:val="en-GB" w:bidi="ar-AE"/>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sym w:font="Wingdings" w:char="00FE"/>
            </w:r>
            <w:r>
              <w:rPr>
                <w:rFonts w:hint="eastAsia" w:ascii="Times New Roman" w:hAnsi="Times New Roman" w:eastAsia="宋体" w:cs="宋体"/>
                <w:bCs/>
                <w:color w:val="000000"/>
                <w:kern w:val="0"/>
                <w:sz w:val="24"/>
                <w:szCs w:val="24"/>
                <w:lang w:val="en-GB" w:bidi="ar-AE"/>
              </w:rPr>
              <w:t xml:space="preserve"> 2.</w:t>
            </w:r>
            <w:r>
              <w:rPr>
                <w:rFonts w:ascii="Times New Roman" w:hAnsi="Times New Roman" w:eastAsia="宋体" w:cs="宋体"/>
                <w:bCs/>
                <w:color w:val="000000"/>
                <w:kern w:val="0"/>
                <w:sz w:val="24"/>
                <w:szCs w:val="24"/>
                <w:lang w:val="en-GB" w:bidi="ar-AE"/>
              </w:rPr>
              <w:t>在上下游市场，参与集中的经营者所占的市场份额均小于25%</w:t>
            </w:r>
            <w:r>
              <w:rPr>
                <w:rFonts w:hint="eastAsia" w:ascii="Times New Roman" w:hAnsi="Times New Roman" w:eastAsia="宋体" w:cs="宋体"/>
                <w:bCs/>
                <w:color w:val="000000"/>
                <w:kern w:val="0"/>
                <w:sz w:val="24"/>
                <w:szCs w:val="24"/>
                <w:lang w:val="en-GB" w:bidi="ar-A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sym w:font="Wingdings" w:char="00FE"/>
            </w:r>
            <w:r>
              <w:rPr>
                <w:rFonts w:hint="eastAsia" w:ascii="Times New Roman" w:hAnsi="Times New Roman" w:eastAsia="宋体" w:cs="宋体"/>
                <w:bCs/>
                <w:color w:val="000000"/>
                <w:kern w:val="0"/>
                <w:sz w:val="24"/>
                <w:szCs w:val="24"/>
                <w:lang w:val="en-GB" w:bidi="ar-AE"/>
              </w:rPr>
              <w:t xml:space="preserve"> 3.</w:t>
            </w:r>
            <w:r>
              <w:rPr>
                <w:rFonts w:ascii="Times New Roman" w:hAnsi="Times New Roman" w:eastAsia="宋体" w:cs="宋体"/>
                <w:bCs/>
                <w:color w:val="000000"/>
                <w:kern w:val="0"/>
                <w:sz w:val="24"/>
                <w:szCs w:val="24"/>
                <w:lang w:val="en-GB" w:bidi="ar-AE"/>
              </w:rPr>
              <w:t>不在同一相关市场也不存在上下游关系的参与集中的经营者，在与交易有关的每个市场所占的市场份额均小于25%。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sym w:font="Wingdings" w:char="00A8"/>
            </w:r>
            <w:r>
              <w:rPr>
                <w:rFonts w:hint="eastAsia" w:ascii="Times New Roman" w:hAnsi="Times New Roman" w:eastAsia="宋体" w:cs="宋体"/>
                <w:bCs/>
                <w:color w:val="000000"/>
                <w:kern w:val="0"/>
                <w:sz w:val="24"/>
                <w:szCs w:val="24"/>
                <w:lang w:val="en-GB" w:bidi="ar-AE"/>
              </w:rPr>
              <w:t xml:space="preserve"> </w:t>
            </w:r>
            <w:r>
              <w:rPr>
                <w:rFonts w:ascii="Times New Roman" w:hAnsi="Times New Roman" w:eastAsia="宋体" w:cs="宋体"/>
                <w:bCs/>
                <w:color w:val="000000"/>
                <w:kern w:val="0"/>
                <w:sz w:val="24"/>
                <w:szCs w:val="24"/>
                <w:lang w:val="en-GB" w:bidi="ar-AE"/>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sym w:font="Wingdings" w:char="00A8"/>
            </w:r>
            <w:r>
              <w:rPr>
                <w:rFonts w:hint="eastAsia" w:ascii="Times New Roman" w:hAnsi="Times New Roman" w:eastAsia="宋体" w:cs="宋体"/>
                <w:bCs/>
                <w:color w:val="000000"/>
                <w:kern w:val="0"/>
                <w:sz w:val="24"/>
                <w:szCs w:val="24"/>
                <w:lang w:val="en-GB" w:bidi="ar-AE"/>
              </w:rPr>
              <w:t xml:space="preserve"> </w:t>
            </w:r>
            <w:r>
              <w:rPr>
                <w:rFonts w:ascii="Times New Roman" w:hAnsi="Times New Roman" w:eastAsia="宋体" w:cs="宋体"/>
                <w:bCs/>
                <w:color w:val="000000"/>
                <w:kern w:val="0"/>
                <w:sz w:val="24"/>
                <w:szCs w:val="24"/>
                <w:lang w:val="en-GB" w:bidi="ar-AE"/>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p>
        </w:tc>
        <w:tc>
          <w:tcPr>
            <w:tcW w:w="7700" w:type="dxa"/>
            <w:gridSpan w:val="2"/>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val="en-GB" w:bidi="ar-AE"/>
              </w:rPr>
              <w:sym w:font="Wingdings" w:char="00A8"/>
            </w:r>
            <w:r>
              <w:rPr>
                <w:rFonts w:hint="eastAsia" w:ascii="Times New Roman" w:hAnsi="Times New Roman" w:eastAsia="宋体" w:cs="宋体"/>
                <w:bCs/>
                <w:color w:val="000000"/>
                <w:kern w:val="0"/>
                <w:sz w:val="24"/>
                <w:szCs w:val="24"/>
                <w:lang w:val="en-GB" w:bidi="ar-AE"/>
              </w:rPr>
              <w:t xml:space="preserve"> </w:t>
            </w:r>
            <w:r>
              <w:rPr>
                <w:rFonts w:ascii="Times New Roman" w:hAnsi="Times New Roman" w:eastAsia="宋体" w:cs="宋体"/>
                <w:bCs/>
                <w:color w:val="000000"/>
                <w:kern w:val="0"/>
                <w:sz w:val="24"/>
                <w:szCs w:val="24"/>
                <w:lang w:val="en-GB" w:bidi="ar-AE"/>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widowControl/>
              <w:adjustRightInd w:val="0"/>
              <w:snapToGrid w:val="0"/>
              <w:rPr>
                <w:rFonts w:hint="eastAsia" w:ascii="Times New Roman" w:hAnsi="Times New Roman" w:eastAsia="宋体" w:cs="宋体"/>
                <w:bCs/>
                <w:color w:val="000000"/>
                <w:kern w:val="0"/>
                <w:sz w:val="24"/>
                <w:szCs w:val="24"/>
                <w:lang w:bidi="ar-AE"/>
              </w:rPr>
            </w:pPr>
            <w:r>
              <w:rPr>
                <w:rFonts w:hint="eastAsia" w:ascii="Times New Roman" w:hAnsi="Times New Roman" w:eastAsia="宋体" w:cs="宋体"/>
                <w:bCs/>
                <w:color w:val="000000"/>
                <w:kern w:val="0"/>
                <w:sz w:val="24"/>
                <w:szCs w:val="24"/>
                <w:lang w:bidi="ar-AE"/>
              </w:rPr>
              <w:t>备注</w:t>
            </w:r>
          </w:p>
        </w:tc>
        <w:tc>
          <w:tcPr>
            <w:tcW w:w="7700" w:type="dxa"/>
            <w:gridSpan w:val="2"/>
            <w:vAlign w:val="center"/>
          </w:tcPr>
          <w:p>
            <w:pPr>
              <w:widowControl/>
              <w:adjustRightInd w:val="0"/>
              <w:snapToGrid w:val="0"/>
              <w:rPr>
                <w:rFonts w:ascii="Times New Roman" w:hAnsi="Times New Roman" w:eastAsia="宋体" w:cs="宋体"/>
                <w:b/>
                <w:color w:val="000000"/>
                <w:kern w:val="0"/>
                <w:sz w:val="24"/>
                <w:szCs w:val="24"/>
                <w:lang w:val="en-GB" w:bidi="ar-AE"/>
              </w:rPr>
            </w:pPr>
            <w:r>
              <w:rPr>
                <w:rFonts w:hint="eastAsia" w:ascii="Times New Roman" w:hAnsi="Times New Roman" w:eastAsia="宋体" w:cs="宋体"/>
                <w:b/>
                <w:color w:val="000000"/>
                <w:kern w:val="0"/>
                <w:sz w:val="24"/>
                <w:szCs w:val="24"/>
                <w:lang w:val="en-GB" w:bidi="ar-AE"/>
              </w:rPr>
              <w:t>纵向关联：</w:t>
            </w:r>
          </w:p>
          <w:p>
            <w:pPr>
              <w:widowControl/>
              <w:adjustRightInd w:val="0"/>
              <w:snapToGrid w:val="0"/>
              <w:rPr>
                <w:rFonts w:hint="eastAsia" w:ascii="Times New Roman" w:hAnsi="Times New Roman" w:eastAsia="宋体" w:cs="宋体"/>
                <w:b/>
                <w:color w:val="000000"/>
                <w:kern w:val="0"/>
                <w:sz w:val="24"/>
                <w:szCs w:val="24"/>
                <w:lang w:val="en-GB" w:bidi="ar-AE"/>
              </w:rPr>
            </w:pP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上游：2023年中国境内智慧园区系统集成服务市场：</w:t>
            </w:r>
          </w:p>
          <w:p>
            <w:pPr>
              <w:widowControl/>
              <w:adjustRightInd w:val="0"/>
              <w:snapToGrid w:val="0"/>
              <w:rPr>
                <w:rFonts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贵州讯飞：0-5%</w:t>
            </w: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下游：2023年中国境内智慧园区解决方案市场：</w:t>
            </w:r>
          </w:p>
          <w:p>
            <w:pPr>
              <w:widowControl/>
              <w:adjustRightInd w:val="0"/>
              <w:snapToGrid w:val="0"/>
              <w:rPr>
                <w:rFonts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贵州讯飞：0-5%；合营企业（预估）：0-5%；各方合计：0-5%</w:t>
            </w:r>
          </w:p>
          <w:p>
            <w:pPr>
              <w:widowControl/>
              <w:adjustRightInd w:val="0"/>
              <w:snapToGrid w:val="0"/>
              <w:rPr>
                <w:rFonts w:ascii="Times New Roman" w:hAnsi="Times New Roman" w:eastAsia="宋体" w:cs="宋体"/>
                <w:bCs/>
                <w:color w:val="000000"/>
                <w:kern w:val="0"/>
                <w:sz w:val="24"/>
                <w:szCs w:val="24"/>
                <w:lang w:val="en-GB" w:bidi="ar-AE"/>
              </w:rPr>
            </w:pP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上游：2023年中国境内智慧黑板市场：</w:t>
            </w:r>
          </w:p>
          <w:p>
            <w:pPr>
              <w:widowControl/>
              <w:adjustRightInd w:val="0"/>
              <w:snapToGrid w:val="0"/>
              <w:rPr>
                <w:rFonts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贵州讯飞：0-5%</w:t>
            </w: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下游：2023年中国境内智慧教育解决方案市场：</w:t>
            </w:r>
          </w:p>
          <w:p>
            <w:pPr>
              <w:widowControl/>
              <w:adjustRightInd w:val="0"/>
              <w:snapToGrid w:val="0"/>
              <w:rPr>
                <w:rFonts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贵州讯飞：0-5%；合营企业（预估）：0-5%；各方合计：0-5%</w:t>
            </w:r>
          </w:p>
          <w:p>
            <w:pPr>
              <w:widowControl/>
              <w:adjustRightInd w:val="0"/>
              <w:snapToGrid w:val="0"/>
              <w:rPr>
                <w:rFonts w:ascii="Times New Roman" w:hAnsi="Times New Roman" w:eastAsia="宋体" w:cs="宋体"/>
                <w:b/>
                <w:color w:val="000000"/>
                <w:kern w:val="0"/>
                <w:sz w:val="24"/>
                <w:szCs w:val="24"/>
                <w:lang w:val="en-GB" w:bidi="ar-AE"/>
              </w:rPr>
            </w:pPr>
          </w:p>
          <w:p>
            <w:pPr>
              <w:widowControl/>
              <w:adjustRightInd w:val="0"/>
              <w:snapToGrid w:val="0"/>
              <w:rPr>
                <w:rFonts w:ascii="Times New Roman" w:hAnsi="Times New Roman" w:eastAsia="宋体" w:cs="宋体"/>
                <w:b/>
                <w:color w:val="000000"/>
                <w:kern w:val="0"/>
                <w:sz w:val="24"/>
                <w:szCs w:val="24"/>
                <w:lang w:val="en-GB" w:bidi="ar-AE"/>
              </w:rPr>
            </w:pPr>
            <w:r>
              <w:rPr>
                <w:rFonts w:hint="eastAsia" w:ascii="Times New Roman" w:hAnsi="Times New Roman" w:eastAsia="宋体" w:cs="宋体"/>
                <w:b/>
                <w:color w:val="000000"/>
                <w:kern w:val="0"/>
                <w:sz w:val="24"/>
                <w:szCs w:val="24"/>
                <w:lang w:val="en-GB" w:bidi="ar-AE"/>
              </w:rPr>
              <w:t>混合集中：</w:t>
            </w:r>
          </w:p>
          <w:p>
            <w:pPr>
              <w:widowControl/>
              <w:adjustRightInd w:val="0"/>
              <w:snapToGrid w:val="0"/>
              <w:rPr>
                <w:rFonts w:ascii="Times New Roman" w:hAnsi="Times New Roman" w:eastAsia="宋体" w:cs="宋体"/>
                <w:b/>
                <w:color w:val="000000"/>
                <w:kern w:val="0"/>
                <w:sz w:val="24"/>
                <w:szCs w:val="24"/>
                <w:lang w:val="en-GB" w:bidi="ar-AE"/>
              </w:rPr>
            </w:pP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2023年中国境内医疗信息系统开发运营市场：</w:t>
            </w:r>
          </w:p>
          <w:p>
            <w:pPr>
              <w:widowControl/>
              <w:adjustRightInd w:val="0"/>
              <w:snapToGrid w:val="0"/>
              <w:rPr>
                <w:rFonts w:hint="eastAsia" w:ascii="Times New Roman" w:hAnsi="Times New Roman" w:eastAsia="宋体" w:cs="宋体"/>
                <w:bCs/>
                <w:color w:val="000000"/>
                <w:kern w:val="0"/>
                <w:sz w:val="24"/>
                <w:szCs w:val="24"/>
                <w:lang w:val="en-GB" w:bidi="ar-AE"/>
              </w:rPr>
            </w:pPr>
            <w:r>
              <w:rPr>
                <w:rFonts w:hint="eastAsia" w:ascii="Times New Roman" w:hAnsi="Times New Roman" w:eastAsia="宋体" w:cs="宋体"/>
                <w:bCs/>
                <w:color w:val="000000"/>
                <w:kern w:val="0"/>
                <w:sz w:val="24"/>
                <w:szCs w:val="24"/>
                <w:lang w:val="en-GB" w:bidi="ar-AE"/>
              </w:rPr>
              <w:t>贵州讯飞：0-5%；合营企业（预估）：0-5%；各方合计：0-5%</w:t>
            </w:r>
          </w:p>
          <w:p>
            <w:pPr>
              <w:widowControl/>
              <w:adjustRightInd w:val="0"/>
              <w:snapToGrid w:val="0"/>
              <w:rPr>
                <w:rFonts w:hint="eastAsia" w:ascii="Times New Roman" w:hAnsi="Times New Roman" w:eastAsia="宋体" w:cs="宋体"/>
                <w:bCs/>
                <w:color w:val="000000"/>
                <w:kern w:val="0"/>
                <w:sz w:val="24"/>
                <w:szCs w:val="24"/>
                <w:lang w:val="en-GB" w:bidi="ar-AE"/>
              </w:rPr>
            </w:pPr>
          </w:p>
        </w:tc>
      </w:tr>
    </w:tbl>
    <w:p>
      <w:pPr>
        <w:widowControl/>
        <w:adjustRightInd w:val="0"/>
        <w:snapToGrid w:val="0"/>
        <w:rPr>
          <w:rFonts w:hint="eastAsia" w:ascii="Arial" w:hAnsi="Arial" w:eastAsia="楷体_GB2312" w:cs="Arial"/>
          <w:b/>
          <w:color w:val="000000"/>
          <w:kern w:val="0"/>
          <w:sz w:val="22"/>
          <w:lang w:val="en-GB" w:bidi="ar-AE"/>
        </w:rPr>
      </w:pPr>
    </w:p>
    <w:p>
      <w:pPr>
        <w:widowControl/>
        <w:jc w:val="center"/>
        <w:rPr>
          <w:rFonts w:ascii="Times New Roman" w:hAnsi="Times New Roman" w:eastAsia="宋体"/>
          <w:lang w:val="en-GB"/>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方正小标宋_GBK">
    <w:panose1 w:val="03000509000000000000"/>
    <w:charset w:val="86"/>
    <w:family w:val="auto"/>
    <w:pitch w:val="default"/>
    <w:sig w:usb0="00000001" w:usb1="080E0000" w:usb2="00000000" w:usb3="00000000" w:csb0="00040000" w:csb1="00000000"/>
  </w:font>
  <w:font w:name="Simplified Arabic">
    <w:altName w:val="Times New Roman"/>
    <w:panose1 w:val="00000000000000000000"/>
    <w:charset w:val="B2"/>
    <w:family w:val="roman"/>
    <w:pitch w:val="default"/>
    <w:sig w:usb0="00000000" w:usb1="00000000" w:usb2="00000008" w:usb3="00000000" w:csb0="00000041" w:csb1="00000000"/>
  </w:font>
  <w:font w:name="楷体_GB2312">
    <w:altName w:val="楷体"/>
    <w:panose1 w:val="00000000000000000000"/>
    <w:charset w:val="86"/>
    <w:family w:val="modern"/>
    <w:pitch w:val="default"/>
    <w:sig w:usb0="00000000" w:usb1="00000000" w:usb2="0000001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3FB"/>
    <w:rsid w:val="003630D0"/>
    <w:rsid w:val="004D2D68"/>
    <w:rsid w:val="005B03C0"/>
    <w:rsid w:val="00673BDE"/>
    <w:rsid w:val="006E2841"/>
    <w:rsid w:val="00853524"/>
    <w:rsid w:val="0086386A"/>
    <w:rsid w:val="0094237A"/>
    <w:rsid w:val="009E5113"/>
    <w:rsid w:val="00A113FB"/>
    <w:rsid w:val="00A923C5"/>
    <w:rsid w:val="00AF07B3"/>
    <w:rsid w:val="00B541FE"/>
    <w:rsid w:val="00B76143"/>
    <w:rsid w:val="00C55069"/>
    <w:rsid w:val="00C97323"/>
    <w:rsid w:val="00CF4C25"/>
    <w:rsid w:val="00D66190"/>
    <w:rsid w:val="00D8712A"/>
    <w:rsid w:val="00DD6AAE"/>
    <w:rsid w:val="00F54488"/>
    <w:rsid w:val="00FE2437"/>
    <w:rsid w:val="35C0369D"/>
    <w:rsid w:val="3FDF5A8A"/>
    <w:rsid w:val="50AD7A46"/>
    <w:rsid w:val="7FE79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sz w:val="18"/>
      <w:szCs w:val="18"/>
    </w:rPr>
  </w:style>
  <w:style w:type="character" w:customStyle="1" w:styleId="7">
    <w:name w:val="页脚 字符"/>
    <w:basedOn w:val="5"/>
    <w:link w:val="2"/>
    <w:qFormat/>
    <w:uiPriority w:val="99"/>
    <w:rPr>
      <w:sz w:val="18"/>
      <w:szCs w:val="18"/>
    </w:rPr>
  </w:style>
  <w:style w:type="paragraph" w:customStyle="1" w:styleId="8">
    <w:name w:val="填写内容"/>
    <w:basedOn w:val="1"/>
    <w:qFormat/>
    <w:uiPriority w:val="0"/>
    <w:pPr>
      <w:widowControl/>
      <w:snapToGrid w:val="0"/>
    </w:pPr>
    <w:rPr>
      <w:rFonts w:ascii="Times New Roman" w:hAnsi="Times New Roman" w:eastAsia="宋体" w:cs="Times New Roman"/>
      <w:b/>
      <w:bCs/>
      <w:color w:val="0000FF"/>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160</Words>
  <Characters>915</Characters>
  <Lines>7</Lines>
  <Paragraphs>2</Paragraphs>
  <TotalTime>2</TotalTime>
  <ScaleCrop>false</ScaleCrop>
  <LinksUpToDate>false</LinksUpToDate>
  <CharactersWithSpaces>1073</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2024-12-02T22:53:00Z</dcterms:created>
  <dc:creator>shihui</dc:creator>
  <cp:lastModifiedBy>scjgj</cp:lastModifiedBy>
  <dcterms:modified xsi:type="dcterms:W3CDTF">2024-12-03T15:01:50Z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6DBE03BE50A242F3B2C70F82D82DAE89_12</vt:lpwstr>
  </property>
</Properties>
</file>