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5486" w:rsidRPr="00FE5983" w:rsidRDefault="00B065D4" w:rsidP="00FE5983">
      <w:pPr>
        <w:widowControl/>
        <w:kinsoku w:val="0"/>
        <w:adjustRightInd w:val="0"/>
        <w:snapToGrid w:val="0"/>
        <w:jc w:val="center"/>
        <w:textAlignment w:val="baseline"/>
        <w:outlineLvl w:val="0"/>
        <w:rPr>
          <w:rFonts w:ascii="黑体" w:eastAsia="黑体" w:hAnsi="黑体" w:cs="宋体"/>
          <w:bCs/>
          <w:noProof/>
          <w:snapToGrid w:val="0"/>
          <w:color w:val="000000"/>
          <w:sz w:val="36"/>
          <w:szCs w:val="36"/>
          <w:lang w:eastAsia="zh-CN"/>
        </w:rPr>
      </w:pPr>
      <w:r w:rsidRPr="00FE5983">
        <w:rPr>
          <w:rFonts w:ascii="黑体" w:eastAsia="黑体" w:hAnsi="黑体" w:cs="宋体"/>
          <w:bCs/>
          <w:noProof/>
          <w:snapToGrid w:val="0"/>
          <w:color w:val="000000"/>
          <w:sz w:val="36"/>
          <w:szCs w:val="36"/>
          <w:lang w:eastAsia="zh-CN"/>
        </w:rPr>
        <w:t>经营者集中简易案件公示表</w:t>
      </w:r>
    </w:p>
    <w:p w:rsidR="000C5486" w:rsidRPr="00FE5983" w:rsidRDefault="000C5486" w:rsidP="00FE5983">
      <w:pPr>
        <w:pStyle w:val="a3"/>
        <w:adjustRightInd w:val="0"/>
        <w:snapToGrid w:val="0"/>
        <w:rPr>
          <w:rFonts w:ascii="Arial" w:eastAsia="宋体" w:hAnsi="Arial" w:cs="Arial"/>
          <w:snapToGrid w:val="0"/>
          <w:sz w:val="20"/>
          <w:lang w:eastAsia="zh-CN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25"/>
        <w:gridCol w:w="1147"/>
        <w:gridCol w:w="6092"/>
      </w:tblGrid>
      <w:tr w:rsidR="000C5486" w:rsidRPr="00E307E4" w:rsidTr="0052172F">
        <w:trPr>
          <w:trHeight w:val="891"/>
        </w:trPr>
        <w:tc>
          <w:tcPr>
            <w:tcW w:w="1825" w:type="dxa"/>
            <w:shd w:val="clear" w:color="auto" w:fill="D9D9D9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</w:pPr>
            <w:proofErr w:type="spellStart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  <w:t>案件名称</w:t>
            </w:r>
            <w:proofErr w:type="spellEnd"/>
          </w:p>
        </w:tc>
        <w:tc>
          <w:tcPr>
            <w:tcW w:w="7239" w:type="dxa"/>
            <w:gridSpan w:val="2"/>
          </w:tcPr>
          <w:p w:rsidR="000C5486" w:rsidRPr="00971790" w:rsidRDefault="00FC75F0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highlight w:val="yellow"/>
                <w:lang w:eastAsia="zh-CN"/>
              </w:rPr>
            </w:pPr>
            <w:bookmarkStart w:id="0" w:name="_GoBack"/>
            <w:r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交</w:t>
            </w:r>
            <w:proofErr w:type="gramStart"/>
            <w:r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银资本</w:t>
            </w:r>
            <w:proofErr w:type="gramEnd"/>
            <w:r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管理有限公司与</w:t>
            </w:r>
            <w:r w:rsidR="00C04B3D" w:rsidRPr="00E441BE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苏州卓璞投资基金管理有限公司</w:t>
            </w:r>
            <w:r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等经营者新设合营企业案</w:t>
            </w:r>
            <w:bookmarkEnd w:id="0"/>
          </w:p>
        </w:tc>
      </w:tr>
      <w:tr w:rsidR="000C5486" w:rsidRPr="00E307E4" w:rsidTr="0052172F">
        <w:tc>
          <w:tcPr>
            <w:tcW w:w="1825" w:type="dxa"/>
            <w:shd w:val="clear" w:color="auto" w:fill="D9D9D9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  <w:t>交易概况（限200字内）</w:t>
            </w:r>
          </w:p>
        </w:tc>
        <w:tc>
          <w:tcPr>
            <w:tcW w:w="7239" w:type="dxa"/>
            <w:gridSpan w:val="2"/>
          </w:tcPr>
          <w:p w:rsidR="00971790" w:rsidRDefault="00E307E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交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银资本</w:t>
            </w:r>
            <w:proofErr w:type="gramEnd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管理有限公司（“</w:t>
            </w:r>
            <w:r w:rsidRPr="00E307E4">
              <w:rPr>
                <w:rFonts w:asciiTheme="minorEastAsia" w:eastAsiaTheme="minorEastAsia" w:hAnsiTheme="minorEastAsia" w:cs="Arial" w:hint="eastAsia"/>
                <w:b/>
                <w:snapToGrid w:val="0"/>
                <w:sz w:val="24"/>
                <w:szCs w:val="24"/>
                <w:lang w:eastAsia="zh-CN"/>
              </w:rPr>
              <w:t>交银资本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”）、</w:t>
            </w:r>
            <w:r w:rsidR="00C04B3D" w:rsidRPr="00E441BE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苏州卓璞投资基金管理有限公司</w:t>
            </w:r>
            <w:r w:rsidR="00C04B3D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（“</w:t>
            </w:r>
            <w:r w:rsidR="00C04B3D" w:rsidRPr="00C04B3D">
              <w:rPr>
                <w:rFonts w:asciiTheme="minorEastAsia" w:eastAsiaTheme="minorEastAsia" w:hAnsiTheme="minorEastAsia" w:cs="Arial" w:hint="eastAsia"/>
                <w:b/>
                <w:snapToGrid w:val="0"/>
                <w:sz w:val="24"/>
                <w:szCs w:val="24"/>
                <w:lang w:eastAsia="zh-CN"/>
              </w:rPr>
              <w:t>卓璞投资</w:t>
            </w:r>
            <w:r w:rsidR="00C04B3D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”）</w:t>
            </w:r>
            <w:r w:rsidR="00C04B3D" w:rsidRPr="00E441BE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、</w:t>
            </w:r>
            <w:r w:rsidR="00FC75F0"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华福成长投资有限公司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（“</w:t>
            </w:r>
            <w:r w:rsidR="00FC75F0" w:rsidRPr="00FC75F0">
              <w:rPr>
                <w:rFonts w:asciiTheme="minorEastAsia" w:eastAsiaTheme="minorEastAsia" w:hAnsiTheme="minorEastAsia" w:cs="Arial" w:hint="eastAsia"/>
                <w:b/>
                <w:snapToGrid w:val="0"/>
                <w:sz w:val="24"/>
                <w:szCs w:val="24"/>
                <w:lang w:eastAsia="zh-CN"/>
              </w:rPr>
              <w:t>华福成长投资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”）</w:t>
            </w:r>
            <w:r w:rsidR="00E441BE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、</w:t>
            </w:r>
            <w:r w:rsidR="00E441BE" w:rsidRPr="00E441BE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交银金融资产投资有限公司、苏州资产管理有限公司、苏州市相城金融控股（集团）有限公司、苏州元和塘创业投资有限公司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签署合营企业合伙协议，拟共同出资新设一家合营企业。合营企业主要从事中国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境内私募股权投资</w:t>
            </w:r>
            <w:proofErr w:type="gramEnd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基金业务。</w:t>
            </w:r>
          </w:p>
          <w:p w:rsidR="000C5486" w:rsidRPr="00E307E4" w:rsidRDefault="00E307E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交易后，交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银资本</w:t>
            </w:r>
            <w:proofErr w:type="gramEnd"/>
            <w:r w:rsidR="001A3626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和</w:t>
            </w:r>
            <w:r w:rsidR="001A3626" w:rsidRPr="001A3626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卓璞投资</w:t>
            </w:r>
            <w:r w:rsidR="001A3626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均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为合营企业的普通合伙人，</w:t>
            </w:r>
            <w:r w:rsidR="001A3626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分别</w:t>
            </w:r>
            <w:r w:rsidR="0097179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持有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合营企业</w:t>
            </w:r>
            <w:r w:rsidR="0097179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认缴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出资</w:t>
            </w:r>
            <w:r w:rsidR="0097179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总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额的</w:t>
            </w:r>
            <w:r w:rsid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0</w:t>
            </w:r>
            <w:r w:rsidR="00FC75F0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.33</w:t>
            </w: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%</w:t>
            </w:r>
            <w:r w:rsid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，</w:t>
            </w:r>
            <w:r w:rsidR="00FC75F0"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华福成长投资</w:t>
            </w:r>
            <w:r w:rsidR="00FC75F0"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为合营企业的</w:t>
            </w:r>
            <w:r w:rsid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有限</w:t>
            </w:r>
            <w:r w:rsidR="00FC75F0"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合伙人，</w:t>
            </w:r>
            <w:r w:rsid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持有</w:t>
            </w:r>
            <w:r w:rsidR="00FC75F0"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合营企业</w:t>
            </w:r>
            <w:r w:rsid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认缴</w:t>
            </w:r>
            <w:r w:rsidR="00FC75F0"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出资</w:t>
            </w:r>
            <w:r w:rsid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总</w:t>
            </w:r>
            <w:r w:rsidR="00FC75F0"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额的</w:t>
            </w:r>
            <w:r w:rsidR="00FC75F0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16.67</w:t>
            </w:r>
            <w:r w:rsidR="00FC75F0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%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，共同控制投资决策委员会以决定合营企业的投资事项，交银资本</w:t>
            </w:r>
            <w:r w:rsidR="001A3626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、</w:t>
            </w:r>
            <w:r w:rsidR="001A3626" w:rsidRPr="001A3626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卓璞投资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与</w:t>
            </w:r>
            <w:r w:rsidR="00FC75F0"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华福成长投资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共同控制合营企业。</w:t>
            </w:r>
          </w:p>
        </w:tc>
      </w:tr>
      <w:tr w:rsidR="000C5486" w:rsidRPr="00E307E4" w:rsidTr="0052172F">
        <w:tc>
          <w:tcPr>
            <w:tcW w:w="1825" w:type="dxa"/>
            <w:vMerge w:val="restart"/>
            <w:shd w:val="clear" w:color="auto" w:fill="D9D9D9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参与集中的经营者简介（每个限100字以内）</w:t>
            </w:r>
          </w:p>
        </w:tc>
        <w:tc>
          <w:tcPr>
            <w:tcW w:w="1147" w:type="dxa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center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1.</w:t>
            </w:r>
            <w:r w:rsidR="001A3626"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 xml:space="preserve"> 交</w:t>
            </w:r>
            <w:proofErr w:type="gramStart"/>
            <w:r w:rsidR="001A3626"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银资本</w:t>
            </w:r>
            <w:proofErr w:type="gramEnd"/>
          </w:p>
        </w:tc>
        <w:tc>
          <w:tcPr>
            <w:tcW w:w="6092" w:type="dxa"/>
          </w:tcPr>
          <w:p w:rsidR="00971790" w:rsidRDefault="00E307E4" w:rsidP="00E307E4">
            <w:pPr>
              <w:pStyle w:val="TableParagraph"/>
              <w:tabs>
                <w:tab w:val="left" w:pos="381"/>
              </w:tabs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交</w:t>
            </w:r>
            <w:proofErr w:type="gramStart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银资本</w:t>
            </w:r>
            <w:proofErr w:type="gramEnd"/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于</w:t>
            </w: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2018年12月29日成立于中国上海市，主要业务为在中国境内从事私</w:t>
            </w:r>
            <w:proofErr w:type="gramStart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募股权投</w:t>
            </w:r>
            <w:proofErr w:type="gramEnd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资基金管理、创业投资基金管理服务。</w:t>
            </w:r>
          </w:p>
          <w:p w:rsidR="000C5486" w:rsidRPr="00E307E4" w:rsidRDefault="00E307E4" w:rsidP="00E307E4">
            <w:pPr>
              <w:pStyle w:val="TableParagraph"/>
              <w:tabs>
                <w:tab w:val="left" w:pos="381"/>
              </w:tabs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交</w:t>
            </w:r>
            <w:proofErr w:type="gramStart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银资本</w:t>
            </w:r>
            <w:proofErr w:type="gramEnd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最终控制人为交通银行股份有限公司，主要业务为公司金融业务、个人金融业务、资金业务等。</w:t>
            </w:r>
          </w:p>
        </w:tc>
      </w:tr>
      <w:tr w:rsidR="00C04B3D" w:rsidRPr="00E307E4" w:rsidTr="0052172F">
        <w:tc>
          <w:tcPr>
            <w:tcW w:w="1825" w:type="dxa"/>
            <w:vMerge/>
            <w:tcBorders>
              <w:top w:val="nil"/>
            </w:tcBorders>
            <w:shd w:val="clear" w:color="auto" w:fill="D9D9D9"/>
            <w:vAlign w:val="center"/>
          </w:tcPr>
          <w:p w:rsidR="00C04B3D" w:rsidRPr="00E307E4" w:rsidRDefault="00C04B3D" w:rsidP="000D2782">
            <w:pPr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:rsidR="00C04B3D" w:rsidRPr="00E307E4" w:rsidRDefault="00C04B3D" w:rsidP="000D2782">
            <w:pPr>
              <w:pStyle w:val="TableParagraph"/>
              <w:adjustRightInd w:val="0"/>
              <w:snapToGrid w:val="0"/>
              <w:ind w:left="57" w:right="57"/>
              <w:jc w:val="center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2</w:t>
            </w:r>
            <w:r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.</w:t>
            </w:r>
            <w:r w:rsidR="001A3626" w:rsidRPr="00E441BE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 xml:space="preserve"> 卓璞</w:t>
            </w:r>
            <w:r w:rsidR="00E23E2D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投资</w:t>
            </w:r>
          </w:p>
        </w:tc>
        <w:tc>
          <w:tcPr>
            <w:tcW w:w="6092" w:type="dxa"/>
          </w:tcPr>
          <w:p w:rsidR="00C04B3D" w:rsidRDefault="00C04B3D" w:rsidP="00C04B3D">
            <w:pPr>
              <w:pStyle w:val="TableParagraph"/>
              <w:tabs>
                <w:tab w:val="left" w:pos="381"/>
              </w:tabs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C04B3D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卓璞投资</w:t>
            </w:r>
            <w:r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于</w:t>
            </w: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2018年2月</w:t>
            </w:r>
            <w:r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11</w:t>
            </w: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日成立于中国</w:t>
            </w:r>
            <w:r w:rsidR="001824A8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江苏省苏州市</w:t>
            </w: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，主要业务为在</w:t>
            </w:r>
            <w:r w:rsidR="001A3626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中国境内从事</w:t>
            </w:r>
            <w:r w:rsidR="001824A8" w:rsidRPr="001824A8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资产管理、投资管理、股权投资。</w:t>
            </w:r>
          </w:p>
          <w:p w:rsidR="00C04B3D" w:rsidRPr="00FC75F0" w:rsidRDefault="001A3626" w:rsidP="00C04B3D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C04B3D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卓璞投资</w:t>
            </w:r>
            <w:r w:rsidR="00C04B3D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最终控制人为</w:t>
            </w:r>
            <w:r w:rsidRPr="001A3626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苏州资产管理有限公司</w:t>
            </w:r>
            <w:r w:rsidR="00C04B3D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，主要业务为</w:t>
            </w:r>
            <w:r w:rsidRPr="001A3626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金融机构和非金融机构不良资产的收购、受托经营管理、投资和处置；债权转股权，对股权资产进行管理、投资和处置；对外投资；财务、投资、法律及风险管理咨询和顾问，资产及项目评估；企业破产清算服务。</w:t>
            </w:r>
          </w:p>
        </w:tc>
      </w:tr>
      <w:tr w:rsidR="000C5486" w:rsidRPr="00E307E4" w:rsidTr="0052172F">
        <w:tc>
          <w:tcPr>
            <w:tcW w:w="1825" w:type="dxa"/>
            <w:vMerge/>
            <w:tcBorders>
              <w:top w:val="nil"/>
            </w:tcBorders>
            <w:shd w:val="clear" w:color="auto" w:fill="D9D9D9"/>
            <w:vAlign w:val="center"/>
          </w:tcPr>
          <w:p w:rsidR="000C5486" w:rsidRPr="00E307E4" w:rsidRDefault="000C5486" w:rsidP="000D2782">
            <w:pPr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center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  <w:t>2.</w:t>
            </w:r>
            <w:r w:rsidR="001A3626" w:rsidRPr="00C04B3D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  <w:t xml:space="preserve"> 华福成长投资</w:t>
            </w:r>
          </w:p>
        </w:tc>
        <w:tc>
          <w:tcPr>
            <w:tcW w:w="6092" w:type="dxa"/>
          </w:tcPr>
          <w:p w:rsidR="00971790" w:rsidRDefault="00FC75F0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华福成长投资</w:t>
            </w:r>
            <w:r w:rsidR="00E307E4" w:rsidRPr="00E307E4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于</w:t>
            </w:r>
            <w:r w:rsidR="00E307E4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201</w:t>
            </w:r>
            <w:r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3</w:t>
            </w:r>
            <w:r w:rsidR="00E307E4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年06月2</w:t>
            </w:r>
            <w:r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7</w:t>
            </w:r>
            <w:r w:rsidR="00E307E4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日成立于</w:t>
            </w: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中国上海市</w:t>
            </w:r>
            <w:r w:rsidR="00E307E4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，主要业务为在中国境内</w:t>
            </w:r>
            <w:r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开展中国证监会规定自营投资清单以外的金融产品、股权等投资业务</w:t>
            </w:r>
            <w:r w:rsidR="00E307E4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。</w:t>
            </w:r>
          </w:p>
          <w:p w:rsidR="000C5486" w:rsidRPr="00E307E4" w:rsidRDefault="00FC75F0" w:rsidP="00FC75F0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华福成长投资</w:t>
            </w:r>
            <w:r w:rsidR="00E307E4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最终控制人为</w:t>
            </w:r>
            <w:r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华福证券有限责任公司</w:t>
            </w:r>
            <w:r w:rsidR="00E307E4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，</w:t>
            </w: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主要业务为</w:t>
            </w:r>
            <w:r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证券业务</w:t>
            </w:r>
            <w:r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、</w:t>
            </w:r>
            <w:r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证券投资基金销售服务</w:t>
            </w:r>
            <w:r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、</w:t>
            </w:r>
            <w:r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证券投资基金托管</w:t>
            </w:r>
            <w:r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、</w:t>
            </w:r>
            <w:r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证券公司为期货公司提供中间介绍业务</w:t>
            </w:r>
            <w:r w:rsidR="00E307E4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。</w:t>
            </w:r>
          </w:p>
        </w:tc>
      </w:tr>
      <w:tr w:rsidR="00FE5983" w:rsidRPr="00E307E4" w:rsidTr="0052172F">
        <w:tc>
          <w:tcPr>
            <w:tcW w:w="1825" w:type="dxa"/>
            <w:vMerge w:val="restart"/>
            <w:shd w:val="clear" w:color="auto" w:fill="D9D9D9"/>
            <w:vAlign w:val="center"/>
          </w:tcPr>
          <w:p w:rsidR="00FE5983" w:rsidRPr="00E307E4" w:rsidRDefault="00FE5983" w:rsidP="0052172F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7239" w:type="dxa"/>
            <w:gridSpan w:val="2"/>
            <w:vAlign w:val="center"/>
          </w:tcPr>
          <w:p w:rsidR="00FE5983" w:rsidRPr="00E307E4" w:rsidRDefault="004F1A65" w:rsidP="000D2782">
            <w:pPr>
              <w:pStyle w:val="TableParagraph"/>
              <w:tabs>
                <w:tab w:val="left" w:pos="381"/>
              </w:tabs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654576489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E307E4">
                  <w:rPr>
                    <w:rFonts w:asciiTheme="minorEastAsia" w:eastAsiaTheme="minorEastAsia" w:hAnsiTheme="minorEastAsia" w:cs="Arial"/>
                    <w:snapToGrid w:val="0"/>
                    <w:sz w:val="24"/>
                    <w:szCs w:val="24"/>
                    <w:lang w:eastAsia="zh-CN"/>
                  </w:rPr>
                  <w:sym w:font="Wingdings" w:char="F0FC"/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1.在同一相关市场，参与集中的经营者所占的市场份额之和小于15%。</w:t>
            </w:r>
          </w:p>
        </w:tc>
      </w:tr>
      <w:tr w:rsidR="00FE5983" w:rsidRPr="00E307E4" w:rsidTr="0052172F">
        <w:tc>
          <w:tcPr>
            <w:tcW w:w="1825" w:type="dxa"/>
            <w:vMerge/>
            <w:shd w:val="clear" w:color="auto" w:fill="D9D9D9"/>
            <w:vAlign w:val="center"/>
          </w:tcPr>
          <w:p w:rsidR="00FE5983" w:rsidRPr="00E307E4" w:rsidRDefault="00FE5983" w:rsidP="000D2782">
            <w:pPr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7239" w:type="dxa"/>
            <w:gridSpan w:val="2"/>
            <w:vAlign w:val="center"/>
          </w:tcPr>
          <w:p w:rsidR="00FE5983" w:rsidRPr="00E307E4" w:rsidRDefault="004F1A65" w:rsidP="000D2782">
            <w:pPr>
              <w:pStyle w:val="TableParagraph"/>
              <w:tabs>
                <w:tab w:val="left" w:pos="381"/>
              </w:tabs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99785649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71D7E" w:rsidRPr="00E307E4">
                  <w:rPr>
                    <w:rFonts w:ascii="Segoe UI Symbol" w:eastAsiaTheme="minorEastAsia" w:hAnsi="Segoe UI Symbol" w:cs="Segoe UI Symbol"/>
                    <w:snapToGrid w:val="0"/>
                    <w:sz w:val="24"/>
                    <w:szCs w:val="24"/>
                    <w:lang w:eastAsia="zh-CN"/>
                  </w:rPr>
                  <w:t>☐</w:t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2.在上下游市场，参与集中的经营者所占的市场份额均小于25%。</w:t>
            </w:r>
          </w:p>
        </w:tc>
      </w:tr>
      <w:tr w:rsidR="00FE5983" w:rsidRPr="00E307E4" w:rsidTr="0052172F">
        <w:tc>
          <w:tcPr>
            <w:tcW w:w="1825" w:type="dxa"/>
            <w:vMerge/>
            <w:shd w:val="clear" w:color="auto" w:fill="D9D9D9"/>
            <w:vAlign w:val="center"/>
          </w:tcPr>
          <w:p w:rsidR="00FE5983" w:rsidRPr="00E307E4" w:rsidRDefault="00FE5983" w:rsidP="000D2782">
            <w:pPr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7239" w:type="dxa"/>
            <w:gridSpan w:val="2"/>
            <w:vAlign w:val="center"/>
          </w:tcPr>
          <w:p w:rsidR="00FE5983" w:rsidRPr="00E307E4" w:rsidRDefault="004F1A65" w:rsidP="000D2782">
            <w:pPr>
              <w:pStyle w:val="TableParagraph"/>
              <w:tabs>
                <w:tab w:val="left" w:pos="386"/>
              </w:tabs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-204459446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71D7E" w:rsidRPr="00E307E4">
                  <w:rPr>
                    <w:rFonts w:ascii="Segoe UI Symbol" w:eastAsiaTheme="minorEastAsia" w:hAnsi="Segoe UI Symbol" w:cs="Segoe UI Symbol"/>
                    <w:snapToGrid w:val="0"/>
                    <w:sz w:val="24"/>
                    <w:szCs w:val="24"/>
                    <w:lang w:eastAsia="zh-CN"/>
                  </w:rPr>
                  <w:t>☐</w:t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3.不在同一相关市场也不存在上下游关系的参与集中的经营者，在与交易有关的每个市场所占的市场份额均小于25%。</w:t>
            </w:r>
          </w:p>
        </w:tc>
      </w:tr>
      <w:tr w:rsidR="00FE5983" w:rsidRPr="00E307E4" w:rsidTr="0052172F">
        <w:tc>
          <w:tcPr>
            <w:tcW w:w="1825" w:type="dxa"/>
            <w:vMerge/>
            <w:shd w:val="clear" w:color="auto" w:fill="D9D9D9"/>
          </w:tcPr>
          <w:p w:rsidR="00FE5983" w:rsidRPr="00E307E4" w:rsidRDefault="00FE5983" w:rsidP="000D2782">
            <w:pPr>
              <w:pStyle w:val="TableParagraph"/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7239" w:type="dxa"/>
            <w:gridSpan w:val="2"/>
          </w:tcPr>
          <w:p w:rsidR="00FE5983" w:rsidRPr="00E307E4" w:rsidRDefault="004F1A65" w:rsidP="000D2782">
            <w:pPr>
              <w:pStyle w:val="TableParagraph"/>
              <w:tabs>
                <w:tab w:val="left" w:pos="386"/>
              </w:tabs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101681451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71D7E" w:rsidRPr="00E307E4">
                  <w:rPr>
                    <w:rFonts w:ascii="Segoe UI Symbol" w:eastAsiaTheme="minorEastAsia" w:hAnsi="Segoe UI Symbol" w:cs="Segoe UI Symbol"/>
                    <w:snapToGrid w:val="0"/>
                    <w:sz w:val="24"/>
                    <w:szCs w:val="24"/>
                    <w:lang w:eastAsia="zh-CN"/>
                  </w:rPr>
                  <w:t>☐</w:t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4.参与集中的经营者在中国境外设立合营企业，合营企业不在中国境内从事经济活动。</w:t>
            </w:r>
          </w:p>
        </w:tc>
      </w:tr>
      <w:tr w:rsidR="00FE5983" w:rsidRPr="00E307E4" w:rsidTr="0052172F">
        <w:tc>
          <w:tcPr>
            <w:tcW w:w="1825" w:type="dxa"/>
            <w:vMerge/>
            <w:shd w:val="clear" w:color="auto" w:fill="D9D9D9"/>
          </w:tcPr>
          <w:p w:rsidR="00FE5983" w:rsidRPr="00E307E4" w:rsidRDefault="00FE5983" w:rsidP="000D2782">
            <w:pPr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7239" w:type="dxa"/>
            <w:gridSpan w:val="2"/>
          </w:tcPr>
          <w:p w:rsidR="00FE5983" w:rsidRPr="00E307E4" w:rsidRDefault="004F1A65" w:rsidP="000D2782">
            <w:pPr>
              <w:pStyle w:val="TableParagraph"/>
              <w:tabs>
                <w:tab w:val="left" w:pos="386"/>
              </w:tabs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169233138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71D7E" w:rsidRPr="00E307E4">
                  <w:rPr>
                    <w:rFonts w:ascii="Segoe UI Symbol" w:eastAsiaTheme="minorEastAsia" w:hAnsi="Segoe UI Symbol" w:cs="Segoe UI Symbol"/>
                    <w:snapToGrid w:val="0"/>
                    <w:sz w:val="24"/>
                    <w:szCs w:val="24"/>
                    <w:lang w:eastAsia="zh-CN"/>
                  </w:rPr>
                  <w:t>☐</w:t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5.参与集中的经营者收购境外企业股权或资产的，该境外企业不在中国境内从事经济活动。</w:t>
            </w:r>
          </w:p>
        </w:tc>
      </w:tr>
      <w:tr w:rsidR="00FE5983" w:rsidRPr="00E307E4" w:rsidTr="0052172F">
        <w:tc>
          <w:tcPr>
            <w:tcW w:w="1825" w:type="dxa"/>
            <w:vMerge/>
            <w:shd w:val="clear" w:color="auto" w:fill="D9D9D9"/>
          </w:tcPr>
          <w:p w:rsidR="00FE5983" w:rsidRPr="00E307E4" w:rsidRDefault="00FE5983" w:rsidP="000D2782">
            <w:pPr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</w:p>
        </w:tc>
        <w:tc>
          <w:tcPr>
            <w:tcW w:w="7239" w:type="dxa"/>
            <w:gridSpan w:val="2"/>
          </w:tcPr>
          <w:p w:rsidR="00FE5983" w:rsidRPr="00E307E4" w:rsidRDefault="004F1A65" w:rsidP="000D2782">
            <w:pPr>
              <w:pStyle w:val="TableParagraph"/>
              <w:tabs>
                <w:tab w:val="left" w:pos="386"/>
              </w:tabs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sdt>
              <w:sdtPr>
                <w:rPr>
                  <w:rFonts w:asciiTheme="minorEastAsia" w:eastAsiaTheme="minorEastAsia" w:hAnsiTheme="minorEastAsia" w:cs="Arial"/>
                  <w:snapToGrid w:val="0"/>
                  <w:sz w:val="24"/>
                  <w:szCs w:val="24"/>
                  <w:lang w:eastAsia="zh-CN"/>
                </w:rPr>
                <w:id w:val="71631974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="00A71D7E" w:rsidRPr="00E307E4">
                  <w:rPr>
                    <w:rFonts w:ascii="Segoe UI Symbol" w:eastAsiaTheme="minorEastAsia" w:hAnsi="Segoe UI Symbol" w:cs="Segoe UI Symbol"/>
                    <w:snapToGrid w:val="0"/>
                    <w:sz w:val="24"/>
                    <w:szCs w:val="24"/>
                    <w:lang w:eastAsia="zh-CN"/>
                  </w:rPr>
                  <w:t>☐</w:t>
                </w:r>
              </w:sdtContent>
            </w:sdt>
            <w:r w:rsidR="00FE5983"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6.由两个以上的经营者共同控制的合营企业，通过集中被其中一个或一个以上经营者控制。</w:t>
            </w:r>
          </w:p>
        </w:tc>
      </w:tr>
      <w:tr w:rsidR="000C5486" w:rsidRPr="00E307E4" w:rsidTr="0052172F">
        <w:tc>
          <w:tcPr>
            <w:tcW w:w="1825" w:type="dxa"/>
            <w:shd w:val="clear" w:color="auto" w:fill="D9D9D9"/>
            <w:vAlign w:val="center"/>
          </w:tcPr>
          <w:p w:rsidR="000C5486" w:rsidRPr="00E307E4" w:rsidRDefault="00B065D4" w:rsidP="000D2782">
            <w:pPr>
              <w:pStyle w:val="TableParagraph"/>
              <w:adjustRightInd w:val="0"/>
              <w:snapToGrid w:val="0"/>
              <w:ind w:left="57" w:right="57"/>
              <w:jc w:val="both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</w:pPr>
            <w:proofErr w:type="spellStart"/>
            <w:r w:rsidRPr="00E307E4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</w:rPr>
              <w:t>备注</w:t>
            </w:r>
            <w:proofErr w:type="spellEnd"/>
          </w:p>
        </w:tc>
        <w:tc>
          <w:tcPr>
            <w:tcW w:w="7239" w:type="dxa"/>
            <w:gridSpan w:val="2"/>
          </w:tcPr>
          <w:p w:rsidR="000C5486" w:rsidRPr="00026530" w:rsidRDefault="00B065D4" w:rsidP="000D2782">
            <w:pPr>
              <w:pStyle w:val="TableParagraph"/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b/>
                <w:snapToGrid w:val="0"/>
                <w:sz w:val="24"/>
                <w:szCs w:val="24"/>
                <w:lang w:eastAsia="zh-CN"/>
              </w:rPr>
            </w:pPr>
            <w:r w:rsidRPr="00026530">
              <w:rPr>
                <w:rFonts w:asciiTheme="minorEastAsia" w:eastAsiaTheme="minorEastAsia" w:hAnsiTheme="minorEastAsia" w:cs="Arial"/>
                <w:b/>
                <w:snapToGrid w:val="0"/>
                <w:sz w:val="24"/>
                <w:szCs w:val="24"/>
                <w:lang w:eastAsia="zh-CN"/>
              </w:rPr>
              <w:t>横向重叠：</w:t>
            </w:r>
          </w:p>
          <w:p w:rsidR="000C5486" w:rsidRPr="00E307E4" w:rsidRDefault="00E307E4" w:rsidP="00E307E4">
            <w:pPr>
              <w:pStyle w:val="TableParagraph"/>
              <w:adjustRightInd w:val="0"/>
              <w:snapToGrid w:val="0"/>
              <w:ind w:left="57" w:right="57"/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</w:pPr>
            <w:r w:rsidRPr="00026530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中国</w:t>
            </w:r>
            <w:proofErr w:type="gramStart"/>
            <w:r w:rsidRPr="00026530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境内私募股权投资</w:t>
            </w:r>
            <w:proofErr w:type="gramEnd"/>
            <w:r w:rsidRPr="00026530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基金市场：交银资本：0-5%，</w:t>
            </w:r>
            <w:r w:rsidR="001A3626" w:rsidRPr="00C04B3D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卓璞投资</w:t>
            </w:r>
            <w:r w:rsidR="001A3626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：</w:t>
            </w:r>
            <w:r w:rsidR="001A3626" w:rsidRPr="00026530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0-5%，</w:t>
            </w:r>
            <w:r w:rsidR="00FC75F0" w:rsidRPr="00FC75F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华福成长投资</w:t>
            </w:r>
            <w:r w:rsidRPr="00026530">
              <w:rPr>
                <w:rFonts w:asciiTheme="minorEastAsia" w:eastAsiaTheme="minorEastAsia" w:hAnsiTheme="minorEastAsia" w:cs="Arial"/>
                <w:snapToGrid w:val="0"/>
                <w:sz w:val="24"/>
                <w:szCs w:val="24"/>
                <w:lang w:eastAsia="zh-CN"/>
              </w:rPr>
              <w:t>：0-5%，各方合计：0-5%</w:t>
            </w:r>
            <w:r w:rsidRPr="00026530">
              <w:rPr>
                <w:rFonts w:asciiTheme="minorEastAsia" w:eastAsiaTheme="minorEastAsia" w:hAnsiTheme="minorEastAsia" w:cs="Arial" w:hint="eastAsia"/>
                <w:snapToGrid w:val="0"/>
                <w:sz w:val="24"/>
                <w:szCs w:val="24"/>
                <w:lang w:eastAsia="zh-CN"/>
              </w:rPr>
              <w:t>。</w:t>
            </w:r>
          </w:p>
        </w:tc>
      </w:tr>
    </w:tbl>
    <w:p w:rsidR="00FE5983" w:rsidRPr="00FE5983" w:rsidRDefault="00FE5983" w:rsidP="00FE5983">
      <w:pPr>
        <w:pStyle w:val="a3"/>
        <w:adjustRightInd w:val="0"/>
        <w:snapToGrid w:val="0"/>
        <w:rPr>
          <w:rFonts w:ascii="Arial" w:eastAsia="宋体" w:hAnsi="Arial" w:cs="Arial"/>
          <w:snapToGrid w:val="0"/>
          <w:sz w:val="19"/>
          <w:lang w:eastAsia="zh-CN"/>
        </w:rPr>
      </w:pPr>
    </w:p>
    <w:sectPr w:rsidR="00FE5983" w:rsidRPr="00FE5983" w:rsidSect="00FE5983">
      <w:pgSz w:w="11910" w:h="16840"/>
      <w:pgMar w:top="1985" w:right="1418" w:bottom="170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1A65" w:rsidRDefault="004F1A65" w:rsidP="00026530">
      <w:r>
        <w:separator/>
      </w:r>
    </w:p>
  </w:endnote>
  <w:endnote w:type="continuationSeparator" w:id="0">
    <w:p w:rsidR="004F1A65" w:rsidRDefault="004F1A65" w:rsidP="00026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1A65" w:rsidRDefault="004F1A65" w:rsidP="00026530">
      <w:r>
        <w:separator/>
      </w:r>
    </w:p>
  </w:footnote>
  <w:footnote w:type="continuationSeparator" w:id="0">
    <w:p w:rsidR="004F1A65" w:rsidRDefault="004F1A65" w:rsidP="000265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34AF9"/>
    <w:multiLevelType w:val="hybridMultilevel"/>
    <w:tmpl w:val="D7EAD382"/>
    <w:lvl w:ilvl="0" w:tplc="B0088E28">
      <w:numFmt w:val="bullet"/>
      <w:lvlText w:val=""/>
      <w:lvlJc w:val="left"/>
      <w:pPr>
        <w:ind w:left="380" w:hanging="27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358E02B0">
      <w:numFmt w:val="bullet"/>
      <w:lvlText w:val="•"/>
      <w:lvlJc w:val="left"/>
      <w:pPr>
        <w:ind w:left="1111" w:hanging="274"/>
      </w:pPr>
      <w:rPr>
        <w:rFonts w:hint="default"/>
      </w:rPr>
    </w:lvl>
    <w:lvl w:ilvl="2" w:tplc="921A93E6">
      <w:numFmt w:val="bullet"/>
      <w:lvlText w:val="•"/>
      <w:lvlJc w:val="left"/>
      <w:pPr>
        <w:ind w:left="1842" w:hanging="274"/>
      </w:pPr>
      <w:rPr>
        <w:rFonts w:hint="default"/>
      </w:rPr>
    </w:lvl>
    <w:lvl w:ilvl="3" w:tplc="43C2EF4A">
      <w:numFmt w:val="bullet"/>
      <w:lvlText w:val="•"/>
      <w:lvlJc w:val="left"/>
      <w:pPr>
        <w:ind w:left="2573" w:hanging="274"/>
      </w:pPr>
      <w:rPr>
        <w:rFonts w:hint="default"/>
      </w:rPr>
    </w:lvl>
    <w:lvl w:ilvl="4" w:tplc="B330CC38">
      <w:numFmt w:val="bullet"/>
      <w:lvlText w:val="•"/>
      <w:lvlJc w:val="left"/>
      <w:pPr>
        <w:ind w:left="3304" w:hanging="274"/>
      </w:pPr>
      <w:rPr>
        <w:rFonts w:hint="default"/>
      </w:rPr>
    </w:lvl>
    <w:lvl w:ilvl="5" w:tplc="10B8A628">
      <w:numFmt w:val="bullet"/>
      <w:lvlText w:val="•"/>
      <w:lvlJc w:val="left"/>
      <w:pPr>
        <w:ind w:left="4035" w:hanging="274"/>
      </w:pPr>
      <w:rPr>
        <w:rFonts w:hint="default"/>
      </w:rPr>
    </w:lvl>
    <w:lvl w:ilvl="6" w:tplc="D45079B2">
      <w:numFmt w:val="bullet"/>
      <w:lvlText w:val="•"/>
      <w:lvlJc w:val="left"/>
      <w:pPr>
        <w:ind w:left="4766" w:hanging="274"/>
      </w:pPr>
      <w:rPr>
        <w:rFonts w:hint="default"/>
      </w:rPr>
    </w:lvl>
    <w:lvl w:ilvl="7" w:tplc="349A5070">
      <w:numFmt w:val="bullet"/>
      <w:lvlText w:val="•"/>
      <w:lvlJc w:val="left"/>
      <w:pPr>
        <w:ind w:left="5497" w:hanging="274"/>
      </w:pPr>
      <w:rPr>
        <w:rFonts w:hint="default"/>
      </w:rPr>
    </w:lvl>
    <w:lvl w:ilvl="8" w:tplc="5894785E">
      <w:numFmt w:val="bullet"/>
      <w:lvlText w:val="•"/>
      <w:lvlJc w:val="left"/>
      <w:pPr>
        <w:ind w:left="6228" w:hanging="274"/>
      </w:pPr>
      <w:rPr>
        <w:rFonts w:hint="default"/>
      </w:rPr>
    </w:lvl>
  </w:abstractNum>
  <w:abstractNum w:abstractNumId="1" w15:restartNumberingAfterBreak="0">
    <w:nsid w:val="119D6C6F"/>
    <w:multiLevelType w:val="hybridMultilevel"/>
    <w:tmpl w:val="72CC8506"/>
    <w:lvl w:ilvl="0" w:tplc="BEB853B2">
      <w:numFmt w:val="bullet"/>
      <w:lvlText w:val=""/>
      <w:lvlJc w:val="left"/>
      <w:pPr>
        <w:ind w:left="380" w:hanging="27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54AA859A">
      <w:numFmt w:val="bullet"/>
      <w:lvlText w:val="•"/>
      <w:lvlJc w:val="left"/>
      <w:pPr>
        <w:ind w:left="1111" w:hanging="274"/>
      </w:pPr>
      <w:rPr>
        <w:rFonts w:hint="default"/>
      </w:rPr>
    </w:lvl>
    <w:lvl w:ilvl="2" w:tplc="C3D8E6C6">
      <w:numFmt w:val="bullet"/>
      <w:lvlText w:val="•"/>
      <w:lvlJc w:val="left"/>
      <w:pPr>
        <w:ind w:left="1842" w:hanging="274"/>
      </w:pPr>
      <w:rPr>
        <w:rFonts w:hint="default"/>
      </w:rPr>
    </w:lvl>
    <w:lvl w:ilvl="3" w:tplc="D5326CCA">
      <w:numFmt w:val="bullet"/>
      <w:lvlText w:val="•"/>
      <w:lvlJc w:val="left"/>
      <w:pPr>
        <w:ind w:left="2573" w:hanging="274"/>
      </w:pPr>
      <w:rPr>
        <w:rFonts w:hint="default"/>
      </w:rPr>
    </w:lvl>
    <w:lvl w:ilvl="4" w:tplc="0C4C392C">
      <w:numFmt w:val="bullet"/>
      <w:lvlText w:val="•"/>
      <w:lvlJc w:val="left"/>
      <w:pPr>
        <w:ind w:left="3304" w:hanging="274"/>
      </w:pPr>
      <w:rPr>
        <w:rFonts w:hint="default"/>
      </w:rPr>
    </w:lvl>
    <w:lvl w:ilvl="5" w:tplc="C19C25D4">
      <w:numFmt w:val="bullet"/>
      <w:lvlText w:val="•"/>
      <w:lvlJc w:val="left"/>
      <w:pPr>
        <w:ind w:left="4035" w:hanging="274"/>
      </w:pPr>
      <w:rPr>
        <w:rFonts w:hint="default"/>
      </w:rPr>
    </w:lvl>
    <w:lvl w:ilvl="6" w:tplc="A8126088">
      <w:numFmt w:val="bullet"/>
      <w:lvlText w:val="•"/>
      <w:lvlJc w:val="left"/>
      <w:pPr>
        <w:ind w:left="4766" w:hanging="274"/>
      </w:pPr>
      <w:rPr>
        <w:rFonts w:hint="default"/>
      </w:rPr>
    </w:lvl>
    <w:lvl w:ilvl="7" w:tplc="98B4AD62">
      <w:numFmt w:val="bullet"/>
      <w:lvlText w:val="•"/>
      <w:lvlJc w:val="left"/>
      <w:pPr>
        <w:ind w:left="5497" w:hanging="274"/>
      </w:pPr>
      <w:rPr>
        <w:rFonts w:hint="default"/>
      </w:rPr>
    </w:lvl>
    <w:lvl w:ilvl="8" w:tplc="3E2A2D10">
      <w:numFmt w:val="bullet"/>
      <w:lvlText w:val="•"/>
      <w:lvlJc w:val="left"/>
      <w:pPr>
        <w:ind w:left="6228" w:hanging="274"/>
      </w:pPr>
      <w:rPr>
        <w:rFonts w:hint="default"/>
      </w:rPr>
    </w:lvl>
  </w:abstractNum>
  <w:abstractNum w:abstractNumId="2" w15:restartNumberingAfterBreak="0">
    <w:nsid w:val="1F53640E"/>
    <w:multiLevelType w:val="hybridMultilevel"/>
    <w:tmpl w:val="5B985540"/>
    <w:lvl w:ilvl="0" w:tplc="D6BA49AE">
      <w:numFmt w:val="bullet"/>
      <w:lvlText w:val=""/>
      <w:lvlJc w:val="left"/>
      <w:pPr>
        <w:ind w:left="385" w:hanging="279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FF5CF6F2">
      <w:numFmt w:val="bullet"/>
      <w:lvlText w:val="•"/>
      <w:lvlJc w:val="left"/>
      <w:pPr>
        <w:ind w:left="1111" w:hanging="279"/>
      </w:pPr>
      <w:rPr>
        <w:rFonts w:hint="default"/>
      </w:rPr>
    </w:lvl>
    <w:lvl w:ilvl="2" w:tplc="316668AC">
      <w:numFmt w:val="bullet"/>
      <w:lvlText w:val="•"/>
      <w:lvlJc w:val="left"/>
      <w:pPr>
        <w:ind w:left="1842" w:hanging="279"/>
      </w:pPr>
      <w:rPr>
        <w:rFonts w:hint="default"/>
      </w:rPr>
    </w:lvl>
    <w:lvl w:ilvl="3" w:tplc="0680CBEA">
      <w:numFmt w:val="bullet"/>
      <w:lvlText w:val="•"/>
      <w:lvlJc w:val="left"/>
      <w:pPr>
        <w:ind w:left="2573" w:hanging="279"/>
      </w:pPr>
      <w:rPr>
        <w:rFonts w:hint="default"/>
      </w:rPr>
    </w:lvl>
    <w:lvl w:ilvl="4" w:tplc="642A1636">
      <w:numFmt w:val="bullet"/>
      <w:lvlText w:val="•"/>
      <w:lvlJc w:val="left"/>
      <w:pPr>
        <w:ind w:left="3304" w:hanging="279"/>
      </w:pPr>
      <w:rPr>
        <w:rFonts w:hint="default"/>
      </w:rPr>
    </w:lvl>
    <w:lvl w:ilvl="5" w:tplc="8DC8C8C4">
      <w:numFmt w:val="bullet"/>
      <w:lvlText w:val="•"/>
      <w:lvlJc w:val="left"/>
      <w:pPr>
        <w:ind w:left="4035" w:hanging="279"/>
      </w:pPr>
      <w:rPr>
        <w:rFonts w:hint="default"/>
      </w:rPr>
    </w:lvl>
    <w:lvl w:ilvl="6" w:tplc="969C781E">
      <w:numFmt w:val="bullet"/>
      <w:lvlText w:val="•"/>
      <w:lvlJc w:val="left"/>
      <w:pPr>
        <w:ind w:left="4766" w:hanging="279"/>
      </w:pPr>
      <w:rPr>
        <w:rFonts w:hint="default"/>
      </w:rPr>
    </w:lvl>
    <w:lvl w:ilvl="7" w:tplc="9BACA888">
      <w:numFmt w:val="bullet"/>
      <w:lvlText w:val="•"/>
      <w:lvlJc w:val="left"/>
      <w:pPr>
        <w:ind w:left="5497" w:hanging="279"/>
      </w:pPr>
      <w:rPr>
        <w:rFonts w:hint="default"/>
      </w:rPr>
    </w:lvl>
    <w:lvl w:ilvl="8" w:tplc="EC261E74">
      <w:numFmt w:val="bullet"/>
      <w:lvlText w:val="•"/>
      <w:lvlJc w:val="left"/>
      <w:pPr>
        <w:ind w:left="6228" w:hanging="279"/>
      </w:pPr>
      <w:rPr>
        <w:rFonts w:hint="default"/>
      </w:rPr>
    </w:lvl>
  </w:abstractNum>
  <w:abstractNum w:abstractNumId="3" w15:restartNumberingAfterBreak="0">
    <w:nsid w:val="22F70D59"/>
    <w:multiLevelType w:val="hybridMultilevel"/>
    <w:tmpl w:val="5E80D980"/>
    <w:lvl w:ilvl="0" w:tplc="7C8ED8B2">
      <w:numFmt w:val="bullet"/>
      <w:lvlText w:val=""/>
      <w:lvlJc w:val="left"/>
      <w:pPr>
        <w:ind w:left="385" w:hanging="279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C882D82A">
      <w:numFmt w:val="bullet"/>
      <w:lvlText w:val="•"/>
      <w:lvlJc w:val="left"/>
      <w:pPr>
        <w:ind w:left="1111" w:hanging="279"/>
      </w:pPr>
      <w:rPr>
        <w:rFonts w:hint="default"/>
      </w:rPr>
    </w:lvl>
    <w:lvl w:ilvl="2" w:tplc="85AA47A4">
      <w:numFmt w:val="bullet"/>
      <w:lvlText w:val="•"/>
      <w:lvlJc w:val="left"/>
      <w:pPr>
        <w:ind w:left="1842" w:hanging="279"/>
      </w:pPr>
      <w:rPr>
        <w:rFonts w:hint="default"/>
      </w:rPr>
    </w:lvl>
    <w:lvl w:ilvl="3" w:tplc="BAC0C686">
      <w:numFmt w:val="bullet"/>
      <w:lvlText w:val="•"/>
      <w:lvlJc w:val="left"/>
      <w:pPr>
        <w:ind w:left="2573" w:hanging="279"/>
      </w:pPr>
      <w:rPr>
        <w:rFonts w:hint="default"/>
      </w:rPr>
    </w:lvl>
    <w:lvl w:ilvl="4" w:tplc="BA40D894">
      <w:numFmt w:val="bullet"/>
      <w:lvlText w:val="•"/>
      <w:lvlJc w:val="left"/>
      <w:pPr>
        <w:ind w:left="3304" w:hanging="279"/>
      </w:pPr>
      <w:rPr>
        <w:rFonts w:hint="default"/>
      </w:rPr>
    </w:lvl>
    <w:lvl w:ilvl="5" w:tplc="54081E22">
      <w:numFmt w:val="bullet"/>
      <w:lvlText w:val="•"/>
      <w:lvlJc w:val="left"/>
      <w:pPr>
        <w:ind w:left="4035" w:hanging="279"/>
      </w:pPr>
      <w:rPr>
        <w:rFonts w:hint="default"/>
      </w:rPr>
    </w:lvl>
    <w:lvl w:ilvl="6" w:tplc="626E9A4E">
      <w:numFmt w:val="bullet"/>
      <w:lvlText w:val="•"/>
      <w:lvlJc w:val="left"/>
      <w:pPr>
        <w:ind w:left="4766" w:hanging="279"/>
      </w:pPr>
      <w:rPr>
        <w:rFonts w:hint="default"/>
      </w:rPr>
    </w:lvl>
    <w:lvl w:ilvl="7" w:tplc="4B26489A">
      <w:numFmt w:val="bullet"/>
      <w:lvlText w:val="•"/>
      <w:lvlJc w:val="left"/>
      <w:pPr>
        <w:ind w:left="5497" w:hanging="279"/>
      </w:pPr>
      <w:rPr>
        <w:rFonts w:hint="default"/>
      </w:rPr>
    </w:lvl>
    <w:lvl w:ilvl="8" w:tplc="BA34CE32">
      <w:numFmt w:val="bullet"/>
      <w:lvlText w:val="•"/>
      <w:lvlJc w:val="left"/>
      <w:pPr>
        <w:ind w:left="6228" w:hanging="279"/>
      </w:pPr>
      <w:rPr>
        <w:rFonts w:hint="default"/>
      </w:rPr>
    </w:lvl>
  </w:abstractNum>
  <w:abstractNum w:abstractNumId="4" w15:restartNumberingAfterBreak="0">
    <w:nsid w:val="5F6B467B"/>
    <w:multiLevelType w:val="hybridMultilevel"/>
    <w:tmpl w:val="48BEF6D6"/>
    <w:lvl w:ilvl="0" w:tplc="01FA37F8">
      <w:numFmt w:val="bullet"/>
      <w:lvlText w:val=""/>
      <w:lvlJc w:val="left"/>
      <w:pPr>
        <w:ind w:left="107" w:hanging="279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A158578E">
      <w:numFmt w:val="bullet"/>
      <w:lvlText w:val="•"/>
      <w:lvlJc w:val="left"/>
      <w:pPr>
        <w:ind w:left="859" w:hanging="279"/>
      </w:pPr>
      <w:rPr>
        <w:rFonts w:hint="default"/>
      </w:rPr>
    </w:lvl>
    <w:lvl w:ilvl="2" w:tplc="3B3E2D9C">
      <w:numFmt w:val="bullet"/>
      <w:lvlText w:val="•"/>
      <w:lvlJc w:val="left"/>
      <w:pPr>
        <w:ind w:left="1618" w:hanging="279"/>
      </w:pPr>
      <w:rPr>
        <w:rFonts w:hint="default"/>
      </w:rPr>
    </w:lvl>
    <w:lvl w:ilvl="3" w:tplc="1760016A">
      <w:numFmt w:val="bullet"/>
      <w:lvlText w:val="•"/>
      <w:lvlJc w:val="left"/>
      <w:pPr>
        <w:ind w:left="2377" w:hanging="279"/>
      </w:pPr>
      <w:rPr>
        <w:rFonts w:hint="default"/>
      </w:rPr>
    </w:lvl>
    <w:lvl w:ilvl="4" w:tplc="91A051E2">
      <w:numFmt w:val="bullet"/>
      <w:lvlText w:val="•"/>
      <w:lvlJc w:val="left"/>
      <w:pPr>
        <w:ind w:left="3136" w:hanging="279"/>
      </w:pPr>
      <w:rPr>
        <w:rFonts w:hint="default"/>
      </w:rPr>
    </w:lvl>
    <w:lvl w:ilvl="5" w:tplc="A34AE9EA">
      <w:numFmt w:val="bullet"/>
      <w:lvlText w:val="•"/>
      <w:lvlJc w:val="left"/>
      <w:pPr>
        <w:ind w:left="3895" w:hanging="279"/>
      </w:pPr>
      <w:rPr>
        <w:rFonts w:hint="default"/>
      </w:rPr>
    </w:lvl>
    <w:lvl w:ilvl="6" w:tplc="50040082">
      <w:numFmt w:val="bullet"/>
      <w:lvlText w:val="•"/>
      <w:lvlJc w:val="left"/>
      <w:pPr>
        <w:ind w:left="4654" w:hanging="279"/>
      </w:pPr>
      <w:rPr>
        <w:rFonts w:hint="default"/>
      </w:rPr>
    </w:lvl>
    <w:lvl w:ilvl="7" w:tplc="B8841F28">
      <w:numFmt w:val="bullet"/>
      <w:lvlText w:val="•"/>
      <w:lvlJc w:val="left"/>
      <w:pPr>
        <w:ind w:left="5413" w:hanging="279"/>
      </w:pPr>
      <w:rPr>
        <w:rFonts w:hint="default"/>
      </w:rPr>
    </w:lvl>
    <w:lvl w:ilvl="8" w:tplc="987099F8">
      <w:numFmt w:val="bullet"/>
      <w:lvlText w:val="•"/>
      <w:lvlJc w:val="left"/>
      <w:pPr>
        <w:ind w:left="6172" w:hanging="279"/>
      </w:pPr>
      <w:rPr>
        <w:rFonts w:hint="default"/>
      </w:rPr>
    </w:lvl>
  </w:abstractNum>
  <w:abstractNum w:abstractNumId="5" w15:restartNumberingAfterBreak="0">
    <w:nsid w:val="68276721"/>
    <w:multiLevelType w:val="hybridMultilevel"/>
    <w:tmpl w:val="656A050C"/>
    <w:lvl w:ilvl="0" w:tplc="1A962D5E">
      <w:numFmt w:val="bullet"/>
      <w:lvlText w:val=""/>
      <w:lvlJc w:val="left"/>
      <w:pPr>
        <w:ind w:left="385" w:hanging="279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F4945628">
      <w:numFmt w:val="bullet"/>
      <w:lvlText w:val="•"/>
      <w:lvlJc w:val="left"/>
      <w:pPr>
        <w:ind w:left="1111" w:hanging="279"/>
      </w:pPr>
      <w:rPr>
        <w:rFonts w:hint="default"/>
      </w:rPr>
    </w:lvl>
    <w:lvl w:ilvl="2" w:tplc="D17052E4">
      <w:numFmt w:val="bullet"/>
      <w:lvlText w:val="•"/>
      <w:lvlJc w:val="left"/>
      <w:pPr>
        <w:ind w:left="1842" w:hanging="279"/>
      </w:pPr>
      <w:rPr>
        <w:rFonts w:hint="default"/>
      </w:rPr>
    </w:lvl>
    <w:lvl w:ilvl="3" w:tplc="7E923510">
      <w:numFmt w:val="bullet"/>
      <w:lvlText w:val="•"/>
      <w:lvlJc w:val="left"/>
      <w:pPr>
        <w:ind w:left="2573" w:hanging="279"/>
      </w:pPr>
      <w:rPr>
        <w:rFonts w:hint="default"/>
      </w:rPr>
    </w:lvl>
    <w:lvl w:ilvl="4" w:tplc="0D2EEAE2">
      <w:numFmt w:val="bullet"/>
      <w:lvlText w:val="•"/>
      <w:lvlJc w:val="left"/>
      <w:pPr>
        <w:ind w:left="3304" w:hanging="279"/>
      </w:pPr>
      <w:rPr>
        <w:rFonts w:hint="default"/>
      </w:rPr>
    </w:lvl>
    <w:lvl w:ilvl="5" w:tplc="6E064400">
      <w:numFmt w:val="bullet"/>
      <w:lvlText w:val="•"/>
      <w:lvlJc w:val="left"/>
      <w:pPr>
        <w:ind w:left="4035" w:hanging="279"/>
      </w:pPr>
      <w:rPr>
        <w:rFonts w:hint="default"/>
      </w:rPr>
    </w:lvl>
    <w:lvl w:ilvl="6" w:tplc="16B223EE">
      <w:numFmt w:val="bullet"/>
      <w:lvlText w:val="•"/>
      <w:lvlJc w:val="left"/>
      <w:pPr>
        <w:ind w:left="4766" w:hanging="279"/>
      </w:pPr>
      <w:rPr>
        <w:rFonts w:hint="default"/>
      </w:rPr>
    </w:lvl>
    <w:lvl w:ilvl="7" w:tplc="AA68DEFA">
      <w:numFmt w:val="bullet"/>
      <w:lvlText w:val="•"/>
      <w:lvlJc w:val="left"/>
      <w:pPr>
        <w:ind w:left="5497" w:hanging="279"/>
      </w:pPr>
      <w:rPr>
        <w:rFonts w:hint="default"/>
      </w:rPr>
    </w:lvl>
    <w:lvl w:ilvl="8" w:tplc="CAD016DC">
      <w:numFmt w:val="bullet"/>
      <w:lvlText w:val="•"/>
      <w:lvlJc w:val="left"/>
      <w:pPr>
        <w:ind w:left="6228" w:hanging="279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86"/>
    <w:rsid w:val="00026530"/>
    <w:rsid w:val="00085D59"/>
    <w:rsid w:val="000C5486"/>
    <w:rsid w:val="000D2782"/>
    <w:rsid w:val="001824A8"/>
    <w:rsid w:val="001A3626"/>
    <w:rsid w:val="004F1A65"/>
    <w:rsid w:val="0052172F"/>
    <w:rsid w:val="00566C19"/>
    <w:rsid w:val="0059323E"/>
    <w:rsid w:val="008273AD"/>
    <w:rsid w:val="008F2305"/>
    <w:rsid w:val="00971790"/>
    <w:rsid w:val="009B14DC"/>
    <w:rsid w:val="00A71D7E"/>
    <w:rsid w:val="00B065D4"/>
    <w:rsid w:val="00B072D8"/>
    <w:rsid w:val="00C04B3D"/>
    <w:rsid w:val="00C617C1"/>
    <w:rsid w:val="00C86F54"/>
    <w:rsid w:val="00DD6130"/>
    <w:rsid w:val="00E23E2D"/>
    <w:rsid w:val="00E307E4"/>
    <w:rsid w:val="00E441BE"/>
    <w:rsid w:val="00FC75F0"/>
    <w:rsid w:val="00FE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C81239"/>
  <w15:docId w15:val="{8F1D8292-6027-47B4-A18C-48C8C6756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Arial Unicode MS" w:eastAsia="Arial Unicode MS" w:hAnsi="Arial Unicode MS" w:cs="Arial Unicode M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line="720" w:lineRule="exact"/>
      <w:ind w:left="676" w:right="793"/>
      <w:jc w:val="center"/>
    </w:pPr>
    <w:rPr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6">
    <w:name w:val="Placeholder Text"/>
    <w:basedOn w:val="a0"/>
    <w:uiPriority w:val="99"/>
    <w:semiHidden/>
    <w:rsid w:val="00FE5983"/>
    <w:rPr>
      <w:color w:val="808080"/>
    </w:rPr>
  </w:style>
  <w:style w:type="paragraph" w:styleId="a7">
    <w:name w:val="header"/>
    <w:basedOn w:val="a"/>
    <w:link w:val="a8"/>
    <w:uiPriority w:val="99"/>
    <w:unhideWhenUsed/>
    <w:rsid w:val="000265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26530"/>
    <w:rPr>
      <w:rFonts w:ascii="Arial Unicode MS" w:eastAsia="Arial Unicode MS" w:hAnsi="Arial Unicode MS" w:cs="Arial Unicode MS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2653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26530"/>
    <w:rPr>
      <w:rFonts w:ascii="Arial Unicode MS" w:eastAsia="Arial Unicode MS" w:hAnsi="Arial Unicode MS" w:cs="Arial Unicode M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附件4</dc:title>
  <dc:creator>oa</dc:creator>
  <cp:lastModifiedBy>Llinks</cp:lastModifiedBy>
  <cp:revision>10</cp:revision>
  <dcterms:created xsi:type="dcterms:W3CDTF">2024-11-19T02:39:00Z</dcterms:created>
  <dcterms:modified xsi:type="dcterms:W3CDTF">2024-12-13T08:40:00Z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2024-11-13T00:00:00Z</vt:filetime>
  </property>
  <property fmtid="{D5CDD505-2E9C-101B-9397-08002B2CF9AE}" pid="5" name="GrammarlyDocumentId">
    <vt:lpwstr>7a63f38708dd4b1c2eb5d65454f8018b8fa5bbbc98d6ed118cd0640cd22be940</vt:lpwstr>
  </property>
</Properties>
</file>