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5A9" w:rsidRDefault="002B5398">
      <w:pPr>
        <w:widowControl/>
        <w:adjustRightInd/>
        <w:snapToGrid/>
        <w:jc w:val="center"/>
        <w:rPr>
          <w:rFonts w:ascii="黑体" w:eastAsia="黑体" w:hAnsi="黑体" w:cs="Times New Roman"/>
          <w:kern w:val="0"/>
          <w:sz w:val="36"/>
          <w:szCs w:val="36"/>
          <w:lang w:val="en-GB" w:bidi="ar-AE"/>
        </w:rPr>
      </w:pPr>
      <w:r>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917"/>
        <w:gridCol w:w="5783"/>
      </w:tblGrid>
      <w:tr w:rsidR="006A15A9">
        <w:trPr>
          <w:trHeight w:val="723"/>
        </w:trPr>
        <w:tc>
          <w:tcPr>
            <w:tcW w:w="1940" w:type="dxa"/>
            <w:shd w:val="clear" w:color="auto" w:fill="D9D9D9"/>
            <w:vAlign w:val="center"/>
          </w:tcPr>
          <w:p w:rsidR="006A15A9" w:rsidRDefault="002B5398">
            <w:pPr>
              <w:widowControl/>
              <w:adjustRightInd/>
              <w:snapToGrid/>
              <w:spacing w:after="240"/>
              <w:jc w:val="center"/>
              <w:rPr>
                <w:rFonts w:ascii="宋体" w:eastAsia="宋体" w:hAnsi="宋体" w:cs="Times New Roman"/>
                <w:kern w:val="0"/>
                <w:sz w:val="24"/>
                <w:szCs w:val="24"/>
                <w:lang w:eastAsia="en-GB" w:bidi="ar-AE"/>
              </w:rPr>
            </w:pPr>
            <w:proofErr w:type="spellStart"/>
            <w:r>
              <w:rPr>
                <w:rFonts w:ascii="宋体" w:eastAsia="宋体" w:hAnsi="宋体" w:cs="Times New Roman"/>
                <w:kern w:val="0"/>
                <w:sz w:val="24"/>
                <w:szCs w:val="24"/>
                <w:lang w:val="en-GB" w:eastAsia="en-GB" w:bidi="ar-AE"/>
              </w:rPr>
              <w:t>案件名称</w:t>
            </w:r>
            <w:proofErr w:type="spellEnd"/>
          </w:p>
        </w:tc>
        <w:tc>
          <w:tcPr>
            <w:tcW w:w="7700" w:type="dxa"/>
            <w:gridSpan w:val="2"/>
            <w:shd w:val="clear" w:color="auto" w:fill="auto"/>
          </w:tcPr>
          <w:p w:rsidR="006A15A9" w:rsidRDefault="002B5398">
            <w:pPr>
              <w:widowControl/>
              <w:adjustRightInd/>
              <w:rPr>
                <w:rFonts w:ascii="宋体" w:eastAsia="宋体" w:hAnsi="宋体" w:cs="Arial"/>
                <w:color w:val="000000"/>
                <w:kern w:val="0"/>
                <w:sz w:val="24"/>
                <w:szCs w:val="24"/>
                <w:lang w:val="en-GB" w:bidi="ar-AE"/>
              </w:rPr>
            </w:pPr>
            <w:r>
              <w:rPr>
                <w:rFonts w:ascii="宋体" w:eastAsia="宋体" w:hAnsi="宋体" w:cs="Arial" w:hint="eastAsia"/>
                <w:color w:val="000000"/>
                <w:kern w:val="0"/>
                <w:sz w:val="24"/>
                <w:szCs w:val="24"/>
                <w:lang w:bidi="ar-AE"/>
              </w:rPr>
              <w:t>四川省投资集团有限责任公司与四川省能源投资集团有限责任公司合并案</w:t>
            </w:r>
          </w:p>
        </w:tc>
      </w:tr>
      <w:tr w:rsidR="006A15A9">
        <w:trPr>
          <w:trHeight w:val="993"/>
        </w:trPr>
        <w:tc>
          <w:tcPr>
            <w:tcW w:w="1940" w:type="dxa"/>
            <w:shd w:val="clear" w:color="auto" w:fill="D9D9D9"/>
            <w:vAlign w:val="center"/>
          </w:tcPr>
          <w:p w:rsidR="006A15A9" w:rsidRDefault="002B5398">
            <w:pPr>
              <w:widowControl/>
              <w:adjustRightInd/>
              <w:snapToGrid/>
              <w:spacing w:after="240"/>
              <w:jc w:val="center"/>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交易概况（限200字内）</w:t>
            </w:r>
          </w:p>
        </w:tc>
        <w:tc>
          <w:tcPr>
            <w:tcW w:w="7700" w:type="dxa"/>
            <w:gridSpan w:val="2"/>
            <w:shd w:val="clear" w:color="auto" w:fill="auto"/>
          </w:tcPr>
          <w:p w:rsidR="006A15A9" w:rsidRDefault="002B5398">
            <w:pPr>
              <w:widowControl/>
              <w:adjustRightInd/>
              <w:rPr>
                <w:rFonts w:ascii="宋体" w:eastAsia="宋体" w:hAnsi="宋体" w:cs="Arial"/>
                <w:color w:val="000000"/>
                <w:kern w:val="0"/>
                <w:sz w:val="24"/>
                <w:szCs w:val="24"/>
                <w:lang w:val="en-GB" w:bidi="ar-AE"/>
              </w:rPr>
            </w:pPr>
            <w:r>
              <w:rPr>
                <w:rFonts w:ascii="宋体" w:eastAsia="宋体" w:hAnsi="宋体" w:cs="Arial" w:hint="eastAsia"/>
                <w:color w:val="000000"/>
                <w:kern w:val="0"/>
                <w:sz w:val="24"/>
                <w:szCs w:val="24"/>
                <w:lang w:bidi="ar-AE"/>
              </w:rPr>
              <w:t>四川省投资集团有限责任公司（“川投集团”）与四川省能源投资集团有限责任公司（“四川能投”）签订《合并协议》，新设合并为四川能源发展集团有限责任公司（“四川能源发展集团”）。交易前，川投集团为四川省政府国有资产监督管理委员会（“省国资委”）和四川省财政厅下属企业，四川能投由四川发展（控股）有限责任公司（“川发展”）控</w:t>
            </w:r>
            <w:r w:rsidRPr="007D6CBC">
              <w:rPr>
                <w:rFonts w:ascii="宋体" w:eastAsia="宋体" w:hAnsi="宋体" w:cs="Arial" w:hint="eastAsia"/>
                <w:color w:val="000000"/>
                <w:kern w:val="0"/>
                <w:sz w:val="24"/>
                <w:szCs w:val="24"/>
                <w:lang w:bidi="ar-AE"/>
              </w:rPr>
              <w:t>制</w:t>
            </w:r>
            <w:r w:rsidRPr="007D6CBC">
              <w:rPr>
                <w:rFonts w:ascii="宋体" w:eastAsia="宋体" w:hAnsi="宋体" w:cs="Arial"/>
                <w:color w:val="000000"/>
                <w:kern w:val="0"/>
                <w:sz w:val="24"/>
                <w:szCs w:val="24"/>
                <w:lang w:bidi="ar-AE"/>
              </w:rPr>
              <w:t>。</w:t>
            </w:r>
            <w:r w:rsidRPr="007D6CBC">
              <w:rPr>
                <w:rFonts w:ascii="宋体" w:eastAsia="宋体" w:hAnsi="宋体" w:cs="Arial" w:hint="eastAsia"/>
                <w:color w:val="000000"/>
                <w:kern w:val="0"/>
                <w:sz w:val="24"/>
                <w:szCs w:val="24"/>
                <w:lang w:bidi="ar-AE"/>
              </w:rPr>
              <w:t>交易后，四川能源发展集团将成为省国资委下属控制企业。</w:t>
            </w:r>
          </w:p>
        </w:tc>
      </w:tr>
      <w:tr w:rsidR="006A15A9">
        <w:trPr>
          <w:trHeight w:val="468"/>
        </w:trPr>
        <w:tc>
          <w:tcPr>
            <w:tcW w:w="1940" w:type="dxa"/>
            <w:vMerge w:val="restart"/>
            <w:shd w:val="clear" w:color="auto" w:fill="D9D9D9"/>
            <w:vAlign w:val="center"/>
          </w:tcPr>
          <w:p w:rsidR="006A15A9" w:rsidRDefault="002B5398">
            <w:pPr>
              <w:jc w:val="center"/>
              <w:rPr>
                <w:rFonts w:ascii="宋体" w:eastAsia="宋体" w:hAnsi="宋体" w:cs="Times"/>
                <w:kern w:val="0"/>
                <w:sz w:val="24"/>
                <w:szCs w:val="24"/>
                <w:lang w:val="zh-CN" w:bidi="ar-AE"/>
              </w:rPr>
            </w:pPr>
            <w:r>
              <w:rPr>
                <w:rFonts w:ascii="宋体" w:eastAsia="宋体" w:hAnsi="宋体" w:cs="Times" w:hint="eastAsia"/>
                <w:kern w:val="0"/>
                <w:sz w:val="24"/>
                <w:szCs w:val="24"/>
                <w:lang w:val="zh-CN" w:bidi="ar-AE"/>
              </w:rPr>
              <w:t>参与集中的经营者简介</w:t>
            </w:r>
            <w:r>
              <w:rPr>
                <w:rFonts w:ascii="宋体" w:eastAsia="宋体" w:hAnsi="宋体" w:cs="宋体" w:hint="eastAsia"/>
                <w:bCs/>
                <w:color w:val="000000"/>
                <w:kern w:val="0"/>
                <w:sz w:val="24"/>
                <w:szCs w:val="24"/>
                <w:lang w:val="zh-CN" w:bidi="ar-AE"/>
              </w:rPr>
              <w:t>（每个限</w:t>
            </w:r>
            <w:r>
              <w:rPr>
                <w:rFonts w:ascii="宋体" w:eastAsia="宋体" w:hAnsi="宋体" w:cs="宋体" w:hint="eastAsia"/>
                <w:bCs/>
                <w:color w:val="000000"/>
                <w:kern w:val="0"/>
                <w:sz w:val="24"/>
                <w:szCs w:val="24"/>
                <w:lang w:bidi="ar-AE"/>
              </w:rPr>
              <w:t>100字以内</w:t>
            </w:r>
            <w:r>
              <w:rPr>
                <w:rFonts w:ascii="宋体" w:eastAsia="宋体" w:hAnsi="宋体" w:cs="宋体" w:hint="eastAsia"/>
                <w:bCs/>
                <w:color w:val="000000"/>
                <w:kern w:val="0"/>
                <w:sz w:val="24"/>
                <w:szCs w:val="24"/>
                <w:lang w:val="zh-CN" w:bidi="ar-AE"/>
              </w:rPr>
              <w:t>）</w:t>
            </w:r>
          </w:p>
        </w:tc>
        <w:tc>
          <w:tcPr>
            <w:tcW w:w="1917" w:type="dxa"/>
            <w:shd w:val="clear" w:color="auto" w:fill="auto"/>
          </w:tcPr>
          <w:p w:rsidR="006A15A9" w:rsidRDefault="002B5398">
            <w:pPr>
              <w:pStyle w:val="af5"/>
              <w:widowControl/>
              <w:numPr>
                <w:ilvl w:val="0"/>
                <w:numId w:val="20"/>
              </w:numPr>
              <w:adjustRightInd/>
              <w:snapToGrid/>
              <w:ind w:firstLineChars="0"/>
              <w:jc w:val="left"/>
              <w:rPr>
                <w:rFonts w:ascii="宋体" w:eastAsia="宋体" w:hAnsi="宋体" w:cs="Arial"/>
                <w:color w:val="000000"/>
                <w:kern w:val="0"/>
                <w:szCs w:val="24"/>
                <w:lang w:bidi="ar-AE"/>
              </w:rPr>
            </w:pPr>
            <w:r>
              <w:rPr>
                <w:rFonts w:ascii="宋体" w:eastAsia="宋体" w:hAnsi="宋体" w:cs="Arial" w:hint="eastAsia"/>
                <w:color w:val="000000"/>
                <w:kern w:val="0"/>
                <w:szCs w:val="24"/>
                <w:lang w:bidi="ar-AE"/>
              </w:rPr>
              <w:t>川投集团</w:t>
            </w:r>
          </w:p>
        </w:tc>
        <w:tc>
          <w:tcPr>
            <w:tcW w:w="5783" w:type="dxa"/>
            <w:shd w:val="clear" w:color="auto" w:fill="auto"/>
          </w:tcPr>
          <w:p w:rsidR="006A15A9" w:rsidRDefault="002B5398">
            <w:pPr>
              <w:widowControl/>
              <w:adjustRightInd/>
              <w:rPr>
                <w:rFonts w:ascii="宋体" w:eastAsia="宋体" w:hAnsi="宋体" w:cs="Arial"/>
                <w:color w:val="000000"/>
                <w:kern w:val="0"/>
                <w:szCs w:val="24"/>
                <w:lang w:val="en-GB" w:bidi="ar-AE"/>
              </w:rPr>
            </w:pPr>
            <w:r>
              <w:rPr>
                <w:rFonts w:ascii="宋体" w:eastAsia="宋体" w:hAnsi="宋体" w:cs="Arial" w:hint="eastAsia"/>
                <w:color w:val="000000"/>
                <w:kern w:val="0"/>
                <w:sz w:val="24"/>
                <w:szCs w:val="24"/>
                <w:lang w:val="en-GB" w:bidi="ar-AE"/>
              </w:rPr>
              <w:t>川投集团</w:t>
            </w:r>
            <w:r>
              <w:rPr>
                <w:rFonts w:ascii="宋体" w:eastAsia="宋体" w:hAnsi="宋体" w:cs="Arial"/>
                <w:color w:val="000000"/>
                <w:kern w:val="0"/>
                <w:sz w:val="24"/>
                <w:szCs w:val="24"/>
                <w:lang w:val="en-GB" w:bidi="ar-AE"/>
              </w:rPr>
              <w:t>1996</w:t>
            </w:r>
            <w:r>
              <w:rPr>
                <w:rFonts w:ascii="宋体" w:eastAsia="宋体" w:hAnsi="宋体" w:cs="Arial" w:hint="eastAsia"/>
                <w:color w:val="000000"/>
                <w:kern w:val="0"/>
                <w:sz w:val="24"/>
                <w:szCs w:val="24"/>
                <w:lang w:val="en-GB" w:bidi="ar-AE"/>
              </w:rPr>
              <w:t>年</w:t>
            </w:r>
            <w:r>
              <w:rPr>
                <w:rFonts w:ascii="宋体" w:eastAsia="宋体" w:hAnsi="宋体" w:cs="Arial"/>
                <w:color w:val="000000"/>
                <w:kern w:val="0"/>
                <w:sz w:val="24"/>
                <w:szCs w:val="24"/>
                <w:lang w:val="en-GB" w:bidi="ar-AE"/>
              </w:rPr>
              <w:t>6月26</w:t>
            </w:r>
            <w:r>
              <w:rPr>
                <w:rFonts w:ascii="宋体" w:eastAsia="宋体" w:hAnsi="宋体" w:cs="Arial" w:hint="eastAsia"/>
                <w:color w:val="000000"/>
                <w:kern w:val="0"/>
                <w:sz w:val="24"/>
                <w:szCs w:val="24"/>
                <w:lang w:val="en-GB" w:bidi="ar-AE"/>
              </w:rPr>
              <w:t>日成立于四川省成都市，其主要从事电力生产与供应、电子元器件、有色金属生产等业务。</w:t>
            </w:r>
          </w:p>
          <w:p w:rsidR="006A15A9" w:rsidRDefault="002B5398">
            <w:pPr>
              <w:widowControl/>
              <w:adjustRightInd/>
              <w:rPr>
                <w:rFonts w:ascii="宋体" w:eastAsia="宋体" w:hAnsi="宋体" w:cs="Arial"/>
                <w:color w:val="000000"/>
                <w:kern w:val="0"/>
                <w:szCs w:val="24"/>
                <w:lang w:val="en-GB" w:bidi="ar-AE"/>
              </w:rPr>
            </w:pPr>
            <w:r>
              <w:rPr>
                <w:rFonts w:ascii="宋体" w:eastAsia="宋体" w:hAnsi="宋体" w:cs="Arial" w:hint="eastAsia"/>
                <w:color w:val="000000"/>
                <w:kern w:val="0"/>
                <w:sz w:val="24"/>
                <w:szCs w:val="24"/>
                <w:lang w:val="en-GB" w:bidi="ar-AE"/>
              </w:rPr>
              <w:t>川投集团是省国资委和四川省财政厅下属企业。</w:t>
            </w:r>
          </w:p>
        </w:tc>
      </w:tr>
      <w:tr w:rsidR="006A15A9">
        <w:trPr>
          <w:trHeight w:val="468"/>
        </w:trPr>
        <w:tc>
          <w:tcPr>
            <w:tcW w:w="1940" w:type="dxa"/>
            <w:vMerge/>
            <w:shd w:val="clear" w:color="auto" w:fill="D9D9D9"/>
            <w:vAlign w:val="center"/>
          </w:tcPr>
          <w:p w:rsidR="006A15A9" w:rsidRDefault="006A15A9">
            <w:pPr>
              <w:widowControl/>
              <w:adjustRightInd/>
              <w:snapToGrid/>
              <w:jc w:val="center"/>
              <w:rPr>
                <w:rFonts w:ascii="宋体" w:eastAsia="宋体" w:hAnsi="宋体" w:cs="Times"/>
                <w:kern w:val="0"/>
                <w:sz w:val="24"/>
                <w:szCs w:val="24"/>
                <w:lang w:val="zh-CN" w:bidi="ar-AE"/>
              </w:rPr>
            </w:pPr>
          </w:p>
        </w:tc>
        <w:tc>
          <w:tcPr>
            <w:tcW w:w="1917" w:type="dxa"/>
            <w:shd w:val="clear" w:color="auto" w:fill="auto"/>
          </w:tcPr>
          <w:p w:rsidR="006A15A9" w:rsidRDefault="002B5398">
            <w:pPr>
              <w:widowControl/>
              <w:adjustRightInd/>
              <w:snapToGrid/>
              <w:jc w:val="left"/>
              <w:rPr>
                <w:rFonts w:ascii="宋体" w:eastAsia="宋体" w:hAnsi="宋体" w:cs="Arial"/>
                <w:color w:val="000000"/>
                <w:kern w:val="0"/>
                <w:sz w:val="24"/>
                <w:szCs w:val="24"/>
                <w:lang w:val="zh-CN" w:bidi="ar-AE"/>
              </w:rPr>
            </w:pPr>
            <w:r>
              <w:rPr>
                <w:rFonts w:ascii="宋体" w:eastAsia="宋体" w:hAnsi="宋体" w:cs="Arial"/>
                <w:color w:val="000000"/>
                <w:kern w:val="0"/>
                <w:sz w:val="24"/>
                <w:szCs w:val="24"/>
                <w:lang w:bidi="ar-AE"/>
              </w:rPr>
              <w:t xml:space="preserve">2. </w:t>
            </w:r>
            <w:r>
              <w:rPr>
                <w:rFonts w:ascii="宋体" w:eastAsia="宋体" w:hAnsi="宋体" w:cs="Arial" w:hint="eastAsia"/>
                <w:color w:val="000000"/>
                <w:kern w:val="0"/>
                <w:sz w:val="24"/>
                <w:szCs w:val="24"/>
                <w:lang w:bidi="ar-AE"/>
              </w:rPr>
              <w:t>四川能投</w:t>
            </w:r>
          </w:p>
        </w:tc>
        <w:tc>
          <w:tcPr>
            <w:tcW w:w="5783" w:type="dxa"/>
            <w:shd w:val="clear" w:color="auto" w:fill="auto"/>
          </w:tcPr>
          <w:p w:rsidR="006A15A9" w:rsidRDefault="002B5398">
            <w:pPr>
              <w:widowControl/>
              <w:adjustRightInd/>
              <w:rPr>
                <w:rFonts w:ascii="宋体" w:eastAsia="宋体" w:hAnsi="宋体" w:cs="Arial"/>
                <w:color w:val="000000"/>
                <w:kern w:val="0"/>
                <w:sz w:val="24"/>
                <w:szCs w:val="24"/>
                <w:lang w:val="en-GB" w:bidi="ar-AE"/>
              </w:rPr>
            </w:pPr>
            <w:r>
              <w:rPr>
                <w:rFonts w:ascii="宋体" w:eastAsia="宋体" w:hAnsi="宋体" w:cs="Arial" w:hint="eastAsia"/>
                <w:color w:val="000000"/>
                <w:kern w:val="0"/>
                <w:sz w:val="24"/>
                <w:szCs w:val="24"/>
                <w:lang w:val="en-GB" w:bidi="ar-AE"/>
              </w:rPr>
              <w:t>四川能投2</w:t>
            </w:r>
            <w:r>
              <w:rPr>
                <w:rFonts w:ascii="宋体" w:eastAsia="宋体" w:hAnsi="宋体" w:cs="Arial"/>
                <w:color w:val="000000"/>
                <w:kern w:val="0"/>
                <w:sz w:val="24"/>
                <w:szCs w:val="24"/>
                <w:lang w:val="en-GB" w:bidi="ar-AE"/>
              </w:rPr>
              <w:t>011</w:t>
            </w:r>
            <w:r>
              <w:rPr>
                <w:rFonts w:ascii="宋体" w:eastAsia="宋体" w:hAnsi="宋体" w:cs="Arial" w:hint="eastAsia"/>
                <w:color w:val="000000"/>
                <w:kern w:val="0"/>
                <w:sz w:val="24"/>
                <w:szCs w:val="24"/>
                <w:lang w:val="en-GB" w:bidi="ar-AE"/>
              </w:rPr>
              <w:t>年2月2</w:t>
            </w:r>
            <w:r>
              <w:rPr>
                <w:rFonts w:ascii="宋体" w:eastAsia="宋体" w:hAnsi="宋体" w:cs="Arial"/>
                <w:color w:val="000000"/>
                <w:kern w:val="0"/>
                <w:sz w:val="24"/>
                <w:szCs w:val="24"/>
                <w:lang w:val="en-GB" w:bidi="ar-AE"/>
              </w:rPr>
              <w:t>1</w:t>
            </w:r>
            <w:r>
              <w:rPr>
                <w:rFonts w:ascii="宋体" w:eastAsia="宋体" w:hAnsi="宋体" w:cs="Arial" w:hint="eastAsia"/>
                <w:color w:val="000000"/>
                <w:kern w:val="0"/>
                <w:sz w:val="24"/>
                <w:szCs w:val="24"/>
                <w:lang w:val="en-GB" w:bidi="ar-AE"/>
              </w:rPr>
              <w:t>日成立于四川省成都市，其主要从事电力生产与销售、化工、天然气、商品贸易、生物医疗等业务。</w:t>
            </w:r>
          </w:p>
          <w:p w:rsidR="006A15A9" w:rsidRDefault="002B5398">
            <w:pPr>
              <w:widowControl/>
              <w:adjustRightInd/>
              <w:rPr>
                <w:rFonts w:ascii="宋体" w:eastAsia="宋体" w:hAnsi="宋体" w:cs="Arial"/>
                <w:color w:val="000000"/>
                <w:kern w:val="0"/>
                <w:sz w:val="24"/>
                <w:szCs w:val="24"/>
                <w:lang w:val="en-GB" w:bidi="ar-AE"/>
              </w:rPr>
            </w:pPr>
            <w:r>
              <w:rPr>
                <w:rFonts w:ascii="宋体" w:eastAsia="宋体" w:hAnsi="宋体" w:cs="Arial" w:hint="eastAsia"/>
                <w:color w:val="000000"/>
                <w:kern w:val="0"/>
                <w:sz w:val="24"/>
                <w:szCs w:val="24"/>
                <w:lang w:val="en-GB" w:bidi="ar-AE"/>
              </w:rPr>
              <w:t>四川能投最终控制人是川发展，</w:t>
            </w:r>
            <w:proofErr w:type="gramStart"/>
            <w:r>
              <w:rPr>
                <w:rFonts w:ascii="宋体" w:eastAsia="宋体" w:hAnsi="宋体" w:cs="Arial" w:hint="eastAsia"/>
                <w:color w:val="000000"/>
                <w:kern w:val="0"/>
                <w:sz w:val="24"/>
                <w:szCs w:val="24"/>
                <w:lang w:val="en-GB" w:bidi="ar-AE"/>
              </w:rPr>
              <w:t>川发展</w:t>
            </w:r>
            <w:proofErr w:type="gramEnd"/>
            <w:r>
              <w:rPr>
                <w:rFonts w:ascii="宋体" w:eastAsia="宋体" w:hAnsi="宋体" w:cs="Arial" w:hint="eastAsia"/>
                <w:color w:val="000000"/>
                <w:kern w:val="0"/>
                <w:sz w:val="24"/>
                <w:szCs w:val="24"/>
                <w:lang w:val="en-GB" w:bidi="ar-AE"/>
              </w:rPr>
              <w:t>主要业务包括电力生产与供应、交通设施运营及建设、贸易、传媒与文化以及新材料等。</w:t>
            </w:r>
          </w:p>
        </w:tc>
      </w:tr>
      <w:tr w:rsidR="006A15A9">
        <w:trPr>
          <w:trHeight w:val="279"/>
        </w:trPr>
        <w:tc>
          <w:tcPr>
            <w:tcW w:w="1940" w:type="dxa"/>
            <w:vMerge w:val="restart"/>
            <w:shd w:val="clear" w:color="auto" w:fill="D9D9D9"/>
            <w:vAlign w:val="center"/>
          </w:tcPr>
          <w:p w:rsidR="006A15A9" w:rsidRDefault="002B5398">
            <w:pPr>
              <w:widowControl/>
              <w:adjustRightInd/>
              <w:snapToGrid/>
              <w:spacing w:after="240"/>
              <w:jc w:val="center"/>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简易案件理由（可以单选，也可以多选）</w:t>
            </w: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sym w:font="Wingdings" w:char="F0FE"/>
            </w:r>
            <w:r>
              <w:rPr>
                <w:rFonts w:ascii="宋体" w:eastAsia="宋体" w:hAnsi="宋体" w:cs="Times New Roman"/>
                <w:color w:val="FF0000"/>
                <w:kern w:val="0"/>
                <w:sz w:val="24"/>
                <w:szCs w:val="24"/>
                <w:lang w:val="en-GB" w:bidi="ar-AE"/>
              </w:rPr>
              <w:t xml:space="preserve"> </w:t>
            </w:r>
            <w:r>
              <w:rPr>
                <w:rFonts w:ascii="宋体" w:eastAsia="宋体" w:hAnsi="宋体" w:cs="Times New Roman"/>
                <w:kern w:val="0"/>
                <w:sz w:val="24"/>
                <w:szCs w:val="24"/>
                <w:lang w:val="en-GB" w:bidi="ar-AE"/>
              </w:rPr>
              <w:t>1、在同一相关市场，所有参与集中的经营者所占市场份额之和小于</w:t>
            </w:r>
            <w:r>
              <w:rPr>
                <w:rFonts w:ascii="宋体" w:eastAsia="宋体" w:hAnsi="宋体" w:cs="Times New Roman"/>
                <w:color w:val="000000"/>
                <w:kern w:val="0"/>
                <w:sz w:val="24"/>
                <w:szCs w:val="24"/>
                <w:lang w:val="en-GB" w:bidi="ar-AE"/>
              </w:rPr>
              <w:t>15%</w:t>
            </w:r>
            <w:r>
              <w:rPr>
                <w:rFonts w:ascii="宋体" w:eastAsia="宋体" w:hAnsi="宋体" w:cs="Times New Roman"/>
                <w:kern w:val="0"/>
                <w:sz w:val="24"/>
                <w:szCs w:val="24"/>
                <w:lang w:val="en-GB" w:bidi="ar-AE"/>
              </w:rPr>
              <w:t>。</w:t>
            </w:r>
          </w:p>
        </w:tc>
      </w:tr>
      <w:tr w:rsidR="006A15A9">
        <w:trPr>
          <w:trHeight w:val="330"/>
        </w:trPr>
        <w:tc>
          <w:tcPr>
            <w:tcW w:w="1940" w:type="dxa"/>
            <w:vMerge/>
            <w:shd w:val="clear" w:color="auto" w:fill="D9D9D9"/>
            <w:vAlign w:val="center"/>
          </w:tcPr>
          <w:p w:rsidR="006A15A9" w:rsidRDefault="006A15A9">
            <w:pPr>
              <w:widowControl/>
              <w:adjustRightInd/>
              <w:snapToGrid/>
              <w:spacing w:after="240"/>
              <w:jc w:val="center"/>
              <w:rPr>
                <w:rFonts w:ascii="宋体" w:eastAsia="宋体" w:hAnsi="宋体" w:cs="Times New Roman"/>
                <w:b/>
                <w:kern w:val="0"/>
                <w:sz w:val="24"/>
                <w:szCs w:val="24"/>
                <w:lang w:bidi="ar-AE"/>
              </w:rPr>
            </w:pP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sym w:font="Wingdings" w:char="F0FE"/>
            </w:r>
            <w:r>
              <w:rPr>
                <w:rFonts w:ascii="宋体" w:eastAsia="宋体" w:hAnsi="宋体" w:cs="Times New Roman"/>
                <w:kern w:val="0"/>
                <w:sz w:val="24"/>
                <w:szCs w:val="24"/>
                <w:lang w:val="en-GB" w:bidi="ar-AE"/>
              </w:rPr>
              <w:t xml:space="preserve"> 2、存在上下游关系的参与集中的经营者，在上下游市场所占的市场份额均小于</w:t>
            </w:r>
            <w:r>
              <w:rPr>
                <w:rFonts w:ascii="宋体" w:eastAsia="宋体" w:hAnsi="宋体" w:cs="Times New Roman"/>
                <w:color w:val="000000"/>
                <w:kern w:val="0"/>
                <w:sz w:val="24"/>
                <w:szCs w:val="24"/>
                <w:lang w:val="en-GB" w:bidi="ar-AE"/>
              </w:rPr>
              <w:t>25%</w:t>
            </w:r>
            <w:r>
              <w:rPr>
                <w:rFonts w:ascii="宋体" w:eastAsia="宋体" w:hAnsi="宋体" w:cs="Times New Roman"/>
                <w:kern w:val="0"/>
                <w:sz w:val="24"/>
                <w:szCs w:val="24"/>
                <w:lang w:val="en-GB" w:bidi="ar-AE"/>
              </w:rPr>
              <w:t>。</w:t>
            </w:r>
          </w:p>
        </w:tc>
      </w:tr>
      <w:tr w:rsidR="006A15A9">
        <w:trPr>
          <w:trHeight w:val="285"/>
        </w:trPr>
        <w:tc>
          <w:tcPr>
            <w:tcW w:w="1940" w:type="dxa"/>
            <w:vMerge/>
            <w:shd w:val="clear" w:color="auto" w:fill="D9D9D9"/>
            <w:vAlign w:val="center"/>
          </w:tcPr>
          <w:p w:rsidR="006A15A9" w:rsidRDefault="006A15A9">
            <w:pPr>
              <w:widowControl/>
              <w:adjustRightInd/>
              <w:snapToGrid/>
              <w:spacing w:after="240"/>
              <w:jc w:val="center"/>
              <w:rPr>
                <w:rFonts w:ascii="宋体" w:eastAsia="宋体" w:hAnsi="宋体" w:cs="Times New Roman"/>
                <w:b/>
                <w:kern w:val="0"/>
                <w:sz w:val="24"/>
                <w:szCs w:val="24"/>
                <w:lang w:bidi="ar-AE"/>
              </w:rPr>
            </w:pP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 3、不在同一相关市场、也不存在上下游关系的参与集中的经营者，在与交易有关的每个市场所占的份额均小于25%。</w:t>
            </w:r>
          </w:p>
        </w:tc>
      </w:tr>
      <w:tr w:rsidR="006A15A9">
        <w:trPr>
          <w:trHeight w:val="593"/>
        </w:trPr>
        <w:tc>
          <w:tcPr>
            <w:tcW w:w="1940" w:type="dxa"/>
            <w:vMerge/>
            <w:shd w:val="clear" w:color="auto" w:fill="D9D9D9"/>
            <w:vAlign w:val="center"/>
          </w:tcPr>
          <w:p w:rsidR="006A15A9" w:rsidRDefault="006A15A9">
            <w:pPr>
              <w:widowControl/>
              <w:adjustRightInd/>
              <w:snapToGrid/>
              <w:spacing w:after="240"/>
              <w:jc w:val="center"/>
              <w:rPr>
                <w:rFonts w:ascii="宋体" w:eastAsia="宋体" w:hAnsi="宋体" w:cs="Times New Roman"/>
                <w:b/>
                <w:kern w:val="0"/>
                <w:sz w:val="24"/>
                <w:szCs w:val="24"/>
                <w:lang w:bidi="ar-AE"/>
              </w:rPr>
            </w:pP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 4、参与集中的经营者在中国境外设立合营企业，合营企业不在中国境内从事经济活动。</w:t>
            </w:r>
          </w:p>
        </w:tc>
      </w:tr>
      <w:tr w:rsidR="006A15A9">
        <w:trPr>
          <w:trHeight w:val="264"/>
        </w:trPr>
        <w:tc>
          <w:tcPr>
            <w:tcW w:w="1940" w:type="dxa"/>
            <w:vMerge/>
            <w:shd w:val="clear" w:color="auto" w:fill="D9D9D9"/>
            <w:vAlign w:val="center"/>
          </w:tcPr>
          <w:p w:rsidR="006A15A9" w:rsidRDefault="006A15A9">
            <w:pPr>
              <w:widowControl/>
              <w:adjustRightInd/>
              <w:snapToGrid/>
              <w:spacing w:after="240"/>
              <w:jc w:val="center"/>
              <w:rPr>
                <w:rFonts w:ascii="宋体" w:eastAsia="宋体" w:hAnsi="宋体" w:cs="Times New Roman"/>
                <w:b/>
                <w:kern w:val="0"/>
                <w:sz w:val="24"/>
                <w:szCs w:val="24"/>
                <w:lang w:bidi="ar-AE"/>
              </w:rPr>
            </w:pP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 5、参与集中的经营者收购境外企业股权或资产的，该境外企业不在中国境内从事经济活动。</w:t>
            </w:r>
          </w:p>
        </w:tc>
      </w:tr>
      <w:tr w:rsidR="006A15A9">
        <w:trPr>
          <w:trHeight w:val="345"/>
        </w:trPr>
        <w:tc>
          <w:tcPr>
            <w:tcW w:w="1940" w:type="dxa"/>
            <w:vMerge/>
            <w:shd w:val="clear" w:color="auto" w:fill="D9D9D9"/>
            <w:vAlign w:val="center"/>
          </w:tcPr>
          <w:p w:rsidR="006A15A9" w:rsidRDefault="006A15A9">
            <w:pPr>
              <w:widowControl/>
              <w:adjustRightInd/>
              <w:snapToGrid/>
              <w:spacing w:after="240"/>
              <w:jc w:val="center"/>
              <w:rPr>
                <w:rFonts w:ascii="宋体" w:eastAsia="宋体" w:hAnsi="宋体" w:cs="Times New Roman"/>
                <w:b/>
                <w:kern w:val="0"/>
                <w:sz w:val="24"/>
                <w:szCs w:val="24"/>
                <w:lang w:bidi="ar-AE"/>
              </w:rPr>
            </w:pPr>
          </w:p>
        </w:tc>
        <w:tc>
          <w:tcPr>
            <w:tcW w:w="7700" w:type="dxa"/>
            <w:gridSpan w:val="2"/>
            <w:shd w:val="clear" w:color="auto" w:fill="auto"/>
          </w:tcPr>
          <w:p w:rsidR="006A15A9" w:rsidRDefault="002B5398">
            <w:pPr>
              <w:widowControl/>
              <w:adjustRightInd/>
              <w:rPr>
                <w:rFonts w:ascii="宋体" w:eastAsia="宋体" w:hAnsi="宋体" w:cs="Times New Roman"/>
                <w:kern w:val="0"/>
                <w:sz w:val="24"/>
                <w:szCs w:val="24"/>
                <w:lang w:bidi="ar-AE"/>
              </w:rPr>
            </w:pPr>
            <w:r>
              <w:rPr>
                <w:rFonts w:ascii="宋体" w:eastAsia="宋体" w:hAnsi="宋体" w:cs="Times New Roman"/>
                <w:kern w:val="0"/>
                <w:sz w:val="24"/>
                <w:szCs w:val="24"/>
                <w:lang w:val="en-GB" w:bidi="ar-AE"/>
              </w:rPr>
              <w:t>□ 6、由两个以上的经营者共同控制的合营企业，通过集中被其中一个或一个以上经营者控制。</w:t>
            </w:r>
          </w:p>
        </w:tc>
      </w:tr>
      <w:tr w:rsidR="006A15A9">
        <w:trPr>
          <w:trHeight w:val="699"/>
        </w:trPr>
        <w:tc>
          <w:tcPr>
            <w:tcW w:w="1940" w:type="dxa"/>
            <w:shd w:val="clear" w:color="auto" w:fill="D9D9D9"/>
            <w:vAlign w:val="center"/>
          </w:tcPr>
          <w:p w:rsidR="006A15A9" w:rsidRDefault="002B5398">
            <w:pPr>
              <w:widowControl/>
              <w:adjustRightInd/>
              <w:snapToGrid/>
              <w:spacing w:after="240"/>
              <w:jc w:val="center"/>
              <w:rPr>
                <w:rFonts w:ascii="宋体" w:eastAsia="宋体" w:hAnsi="宋体" w:cs="Times New Roman"/>
                <w:kern w:val="0"/>
                <w:sz w:val="24"/>
                <w:szCs w:val="24"/>
                <w:lang w:val="en-GB" w:bidi="ar-AE"/>
              </w:rPr>
            </w:pPr>
            <w:r>
              <w:rPr>
                <w:rFonts w:ascii="宋体" w:eastAsia="宋体" w:hAnsi="宋体" w:cs="Times New Roman"/>
                <w:kern w:val="0"/>
                <w:sz w:val="24"/>
                <w:szCs w:val="24"/>
                <w:lang w:val="en-GB" w:bidi="ar-AE"/>
              </w:rPr>
              <w:t>备注</w:t>
            </w:r>
          </w:p>
        </w:tc>
        <w:tc>
          <w:tcPr>
            <w:tcW w:w="7700" w:type="dxa"/>
            <w:gridSpan w:val="2"/>
            <w:shd w:val="clear" w:color="auto" w:fill="auto"/>
          </w:tcPr>
          <w:p w:rsidR="006A15A9" w:rsidRDefault="002B5398">
            <w:pPr>
              <w:widowControl/>
              <w:adjustRightInd/>
              <w:rPr>
                <w:rFonts w:ascii="宋体" w:eastAsia="宋体" w:hAnsi="宋体" w:cs="Times New Roman"/>
                <w:b/>
                <w:kern w:val="0"/>
                <w:sz w:val="24"/>
                <w:szCs w:val="24"/>
                <w:lang w:val="en-GB" w:bidi="ar-AE"/>
              </w:rPr>
            </w:pPr>
            <w:r>
              <w:rPr>
                <w:rFonts w:ascii="宋体" w:eastAsia="宋体" w:hAnsi="宋体" w:cs="Times New Roman" w:hint="eastAsia"/>
                <w:b/>
                <w:kern w:val="0"/>
                <w:sz w:val="24"/>
                <w:szCs w:val="24"/>
                <w:lang w:val="en-GB" w:bidi="ar-AE"/>
              </w:rPr>
              <w:t>横向重叠：</w:t>
            </w:r>
          </w:p>
          <w:tbl>
            <w:tblPr>
              <w:tblStyle w:val="af0"/>
              <w:tblW w:w="0" w:type="auto"/>
              <w:tblLayout w:type="fixed"/>
              <w:tblLook w:val="04A0" w:firstRow="1" w:lastRow="0" w:firstColumn="1" w:lastColumn="0" w:noHBand="0" w:noVBand="1"/>
            </w:tblPr>
            <w:tblGrid>
              <w:gridCol w:w="3077"/>
              <w:gridCol w:w="1905"/>
              <w:gridCol w:w="2492"/>
            </w:tblGrid>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相关商品市场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相关地域市场</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kern w:val="0"/>
                      <w:sz w:val="24"/>
                      <w:szCs w:val="24"/>
                      <w:lang w:val="en-GB" w:bidi="ar-AE"/>
                    </w:rPr>
                    <w:t>2023</w:t>
                  </w:r>
                  <w:r>
                    <w:rPr>
                      <w:rFonts w:ascii="宋体" w:eastAsia="宋体" w:hAnsi="宋体" w:cs="Times New Roman" w:hint="eastAsia"/>
                      <w:kern w:val="0"/>
                      <w:sz w:val="24"/>
                      <w:szCs w:val="24"/>
                      <w:lang w:val="en-GB" w:bidi="ar-AE"/>
                    </w:rPr>
                    <w:t>年市场份额</w:t>
                  </w:r>
                </w:p>
              </w:tc>
            </w:tr>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kern w:val="0"/>
                      <w:sz w:val="24"/>
                      <w:szCs w:val="24"/>
                      <w:lang w:val="en-GB" w:bidi="ar-AE"/>
                    </w:rPr>
                    <w:t>光伏发电市场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中国境内</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各方合计：0</w:t>
                  </w:r>
                  <w:r>
                    <w:rPr>
                      <w:rFonts w:ascii="宋体" w:eastAsia="宋体" w:hAnsi="宋体" w:cs="Times New Roman"/>
                      <w:kern w:val="0"/>
                      <w:sz w:val="24"/>
                      <w:szCs w:val="24"/>
                      <w:lang w:val="en-GB" w:bidi="ar-AE"/>
                    </w:rPr>
                    <w:t>-5%</w:t>
                  </w:r>
                </w:p>
              </w:tc>
            </w:tr>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水力发电市场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中国境内</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b/>
                      <w:kern w:val="0"/>
                      <w:sz w:val="24"/>
                      <w:szCs w:val="24"/>
                      <w:lang w:val="en-GB" w:bidi="ar-AE"/>
                    </w:rPr>
                  </w:pPr>
                  <w:r>
                    <w:rPr>
                      <w:rFonts w:ascii="宋体" w:eastAsia="宋体" w:hAnsi="宋体" w:cs="Times New Roman" w:hint="eastAsia"/>
                      <w:kern w:val="0"/>
                      <w:sz w:val="24"/>
                      <w:szCs w:val="24"/>
                      <w:lang w:val="en-GB" w:bidi="ar-AE"/>
                    </w:rPr>
                    <w:t>各方合计：0</w:t>
                  </w:r>
                  <w:r>
                    <w:rPr>
                      <w:rFonts w:ascii="宋体" w:eastAsia="宋体" w:hAnsi="宋体" w:cs="Times New Roman"/>
                      <w:kern w:val="0"/>
                      <w:sz w:val="24"/>
                      <w:szCs w:val="24"/>
                      <w:lang w:val="en-GB" w:bidi="ar-AE"/>
                    </w:rPr>
                    <w:t>-5%</w:t>
                  </w:r>
                </w:p>
              </w:tc>
            </w:tr>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火力发电市场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中国境内</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b/>
                      <w:kern w:val="0"/>
                      <w:sz w:val="24"/>
                      <w:szCs w:val="24"/>
                      <w:lang w:val="en-GB" w:bidi="ar-AE"/>
                    </w:rPr>
                  </w:pPr>
                  <w:r>
                    <w:rPr>
                      <w:rFonts w:ascii="宋体" w:eastAsia="宋体" w:hAnsi="宋体" w:cs="Times New Roman" w:hint="eastAsia"/>
                      <w:kern w:val="0"/>
                      <w:sz w:val="24"/>
                      <w:szCs w:val="24"/>
                      <w:lang w:val="en-GB" w:bidi="ar-AE"/>
                    </w:rPr>
                    <w:t>各方合计：0</w:t>
                  </w:r>
                  <w:r>
                    <w:rPr>
                      <w:rFonts w:ascii="宋体" w:eastAsia="宋体" w:hAnsi="宋体" w:cs="Times New Roman"/>
                      <w:kern w:val="0"/>
                      <w:sz w:val="24"/>
                      <w:szCs w:val="24"/>
                      <w:lang w:val="en-GB" w:bidi="ar-AE"/>
                    </w:rPr>
                    <w:t>-5%</w:t>
                  </w:r>
                </w:p>
              </w:tc>
            </w:tr>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lastRenderedPageBreak/>
                    <w:t>动力煤供应市场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中国境内</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widowControl/>
                    <w:adjustRightInd/>
                    <w:rPr>
                      <w:rFonts w:ascii="宋体" w:eastAsia="宋体" w:hAnsi="宋体" w:cs="Times New Roman"/>
                      <w:b/>
                      <w:kern w:val="0"/>
                      <w:sz w:val="24"/>
                      <w:szCs w:val="24"/>
                      <w:lang w:val="en-GB" w:bidi="ar-AE"/>
                    </w:rPr>
                  </w:pPr>
                  <w:r>
                    <w:rPr>
                      <w:rFonts w:ascii="宋体" w:eastAsia="宋体" w:hAnsi="宋体" w:cs="Times New Roman" w:hint="eastAsia"/>
                      <w:kern w:val="0"/>
                      <w:sz w:val="24"/>
                      <w:szCs w:val="24"/>
                      <w:lang w:val="en-GB" w:bidi="ar-AE"/>
                    </w:rPr>
                    <w:t>各方合计：0</w:t>
                  </w:r>
                  <w:r>
                    <w:rPr>
                      <w:rFonts w:ascii="宋体" w:eastAsia="宋体" w:hAnsi="宋体" w:cs="Times New Roman"/>
                      <w:kern w:val="0"/>
                      <w:sz w:val="24"/>
                      <w:szCs w:val="24"/>
                      <w:lang w:val="en-GB" w:bidi="ar-AE"/>
                    </w:rPr>
                    <w:t>-5%</w:t>
                  </w:r>
                </w:p>
              </w:tc>
            </w:tr>
          </w:tbl>
          <w:p w:rsidR="006A15A9" w:rsidRDefault="002B5398">
            <w:pPr>
              <w:widowControl/>
              <w:adjustRightInd/>
              <w:rPr>
                <w:rFonts w:ascii="宋体" w:eastAsia="宋体" w:hAnsi="宋体" w:cs="Times New Roman"/>
                <w:b/>
                <w:kern w:val="0"/>
                <w:sz w:val="24"/>
                <w:szCs w:val="24"/>
                <w:lang w:val="en-GB" w:bidi="ar-AE"/>
              </w:rPr>
            </w:pPr>
            <w:r>
              <w:rPr>
                <w:rFonts w:ascii="宋体" w:eastAsia="宋体" w:hAnsi="宋体" w:cs="Times New Roman" w:hint="eastAsia"/>
                <w:b/>
                <w:kern w:val="0"/>
                <w:sz w:val="24"/>
                <w:szCs w:val="24"/>
                <w:lang w:val="en-GB" w:bidi="ar-AE"/>
              </w:rPr>
              <w:t>纵向关联：</w:t>
            </w:r>
          </w:p>
          <w:tbl>
            <w:tblPr>
              <w:tblStyle w:val="af0"/>
              <w:tblW w:w="0" w:type="auto"/>
              <w:tblLayout w:type="fixed"/>
              <w:tblLook w:val="04A0" w:firstRow="1" w:lastRow="0" w:firstColumn="1" w:lastColumn="0" w:noHBand="0" w:noVBand="1"/>
            </w:tblPr>
            <w:tblGrid>
              <w:gridCol w:w="3077"/>
              <w:gridCol w:w="1905"/>
              <w:gridCol w:w="2492"/>
            </w:tblGrid>
            <w:tr w:rsidR="006A15A9">
              <w:tc>
                <w:tcPr>
                  <w:tcW w:w="3077"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相关商品市场</w:t>
                  </w:r>
                </w:p>
              </w:tc>
              <w:tc>
                <w:tcPr>
                  <w:tcW w:w="1905"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相关地域市场</w:t>
                  </w:r>
                </w:p>
              </w:tc>
              <w:tc>
                <w:tcPr>
                  <w:tcW w:w="2492" w:type="dxa"/>
                </w:tcPr>
                <w:p w:rsidR="006A15A9" w:rsidRDefault="002B5398">
                  <w:pPr>
                    <w:widowControl/>
                    <w:adjustRightInd/>
                    <w:rPr>
                      <w:rFonts w:ascii="宋体" w:eastAsia="宋体" w:hAnsi="宋体" w:cs="Times New Roman"/>
                      <w:kern w:val="0"/>
                      <w:sz w:val="24"/>
                      <w:szCs w:val="24"/>
                      <w:lang w:val="en-GB" w:bidi="ar-AE"/>
                    </w:rPr>
                  </w:pPr>
                  <w:r>
                    <w:rPr>
                      <w:rFonts w:ascii="宋体" w:eastAsia="宋体" w:hAnsi="宋体" w:cs="Times New Roman"/>
                      <w:kern w:val="0"/>
                      <w:sz w:val="24"/>
                      <w:szCs w:val="24"/>
                      <w:lang w:val="en-GB" w:bidi="ar-AE"/>
                    </w:rPr>
                    <w:t>2023</w:t>
                  </w:r>
                  <w:r>
                    <w:rPr>
                      <w:rFonts w:ascii="宋体" w:eastAsia="宋体" w:hAnsi="宋体" w:cs="Times New Roman" w:hint="eastAsia"/>
                      <w:kern w:val="0"/>
                      <w:sz w:val="24"/>
                      <w:szCs w:val="24"/>
                      <w:lang w:val="en-GB" w:bidi="ar-AE"/>
                    </w:rPr>
                    <w:t>年市场份额</w:t>
                  </w:r>
                </w:p>
              </w:tc>
            </w:tr>
            <w:tr w:rsidR="006A15A9">
              <w:tc>
                <w:tcPr>
                  <w:tcW w:w="3077"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上游：炼焦煤供应市场</w:t>
                  </w:r>
                </w:p>
                <w:p w:rsidR="006A15A9" w:rsidRDefault="002B5398">
                  <w:pPr>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下游：锰铁合金市场</w:t>
                  </w:r>
                </w:p>
              </w:tc>
              <w:tc>
                <w:tcPr>
                  <w:tcW w:w="1905"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w:t>
                  </w:r>
                </w:p>
              </w:tc>
              <w:tc>
                <w:tcPr>
                  <w:tcW w:w="2492"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上游：中国境内炼焦煤供应市场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下游：中国境内锰铁合金市场；</w:t>
                  </w:r>
                </w:p>
                <w:p w:rsidR="006A15A9" w:rsidRDefault="002B5398">
                  <w:pPr>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w:t>
                  </w:r>
                  <w:r>
                    <w:rPr>
                      <w:rFonts w:ascii="宋体" w:eastAsia="宋体" w:hAnsi="宋体" w:cs="Times New Roman"/>
                      <w:kern w:val="0"/>
                      <w:sz w:val="24"/>
                      <w:szCs w:val="24"/>
                      <w:lang w:val="en-GB" w:bidi="ar-AE"/>
                    </w:rPr>
                    <w:t>0-5%</w:t>
                  </w:r>
                </w:p>
              </w:tc>
            </w:tr>
            <w:tr w:rsidR="006A15A9">
              <w:tc>
                <w:tcPr>
                  <w:tcW w:w="3077"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上游：炼焦煤供应市场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 xml:space="preserve">下游：锰硅合金市场 </w:t>
                  </w:r>
                </w:p>
              </w:tc>
              <w:tc>
                <w:tcPr>
                  <w:tcW w:w="1905"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w:t>
                  </w:r>
                </w:p>
              </w:tc>
              <w:tc>
                <w:tcPr>
                  <w:tcW w:w="2492"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上游：中国境内炼焦煤供应市场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A15A9" w:rsidRDefault="002B5398">
                  <w:pPr>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下游：中国境内锰硅合金市场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w:t>
                  </w:r>
                  <w:r>
                    <w:rPr>
                      <w:rFonts w:ascii="宋体" w:eastAsia="宋体" w:hAnsi="宋体" w:cs="Times New Roman"/>
                      <w:kern w:val="0"/>
                      <w:sz w:val="24"/>
                      <w:szCs w:val="24"/>
                      <w:lang w:val="en-GB" w:bidi="ar-AE"/>
                    </w:rPr>
                    <w:t>0-5%</w:t>
                  </w:r>
                </w:p>
              </w:tc>
            </w:tr>
            <w:tr w:rsidR="006A15A9">
              <w:tc>
                <w:tcPr>
                  <w:tcW w:w="3077"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上游：动力煤供应市场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下游：火力发电市场</w:t>
                  </w:r>
                </w:p>
              </w:tc>
              <w:tc>
                <w:tcPr>
                  <w:tcW w:w="1905"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w:t>
                  </w:r>
                </w:p>
              </w:tc>
              <w:tc>
                <w:tcPr>
                  <w:tcW w:w="2492" w:type="dxa"/>
                </w:tcPr>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上游：中国境内动力煤供应市场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川投集团：如前所述</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四川能投：如前所述</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各方合计：如前所述</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下游：中国境内火力发电市场</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川投集团：如前所述</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四川能投：如前所述</w:t>
                  </w:r>
                </w:p>
                <w:p w:rsidR="006A15A9" w:rsidRDefault="002B5398">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各方合计：如前所述</w:t>
                  </w:r>
                </w:p>
              </w:tc>
            </w:tr>
            <w:tr w:rsidR="007E4941">
              <w:tc>
                <w:tcPr>
                  <w:tcW w:w="3077" w:type="dxa"/>
                </w:tcPr>
                <w:p w:rsidR="007E4941" w:rsidRDefault="007E4941">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上游：分子诊断市场</w:t>
                  </w:r>
                </w:p>
                <w:p w:rsidR="007E4941" w:rsidRDefault="007E4941">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下游：综合医院医疗服务市场</w:t>
                  </w:r>
                </w:p>
              </w:tc>
              <w:tc>
                <w:tcPr>
                  <w:tcW w:w="1905" w:type="dxa"/>
                </w:tcPr>
                <w:p w:rsidR="007E4941"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w:t>
                  </w:r>
                </w:p>
                <w:p w:rsidR="006D0710"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w:t>
                  </w:r>
                  <w:r w:rsidR="0054456E">
                    <w:rPr>
                      <w:rFonts w:ascii="宋体" w:eastAsia="宋体" w:hAnsi="宋体" w:cs="Times New Roman" w:hint="eastAsia"/>
                      <w:kern w:val="0"/>
                      <w:sz w:val="24"/>
                      <w:szCs w:val="24"/>
                      <w:lang w:val="en-GB" w:bidi="ar-AE"/>
                    </w:rPr>
                    <w:t>凉山</w:t>
                  </w:r>
                  <w:r>
                    <w:rPr>
                      <w:rFonts w:ascii="宋体" w:eastAsia="宋体" w:hAnsi="宋体" w:cs="Times New Roman" w:hint="eastAsia"/>
                      <w:kern w:val="0"/>
                      <w:sz w:val="24"/>
                      <w:szCs w:val="24"/>
                      <w:lang w:val="en-GB" w:bidi="ar-AE"/>
                    </w:rPr>
                    <w:t>彝族自治州</w:t>
                  </w:r>
                </w:p>
              </w:tc>
              <w:tc>
                <w:tcPr>
                  <w:tcW w:w="2492" w:type="dxa"/>
                </w:tcPr>
                <w:p w:rsidR="007E4941"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上游：中国境内分子诊断市场</w:t>
                  </w:r>
                </w:p>
                <w:p w:rsidR="006D0710"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四川能投：0</w:t>
                  </w:r>
                  <w:r>
                    <w:rPr>
                      <w:rFonts w:ascii="宋体" w:eastAsia="宋体" w:hAnsi="宋体" w:cs="Times New Roman"/>
                      <w:kern w:val="0"/>
                      <w:sz w:val="24"/>
                      <w:szCs w:val="24"/>
                      <w:lang w:val="en-GB" w:bidi="ar-AE"/>
                    </w:rPr>
                    <w:t>-5%</w:t>
                  </w:r>
                </w:p>
                <w:p w:rsidR="006D0710"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下游：</w:t>
                  </w:r>
                  <w:r w:rsidR="0054456E">
                    <w:rPr>
                      <w:rFonts w:ascii="宋体" w:eastAsia="宋体" w:hAnsi="宋体" w:cs="Times New Roman" w:hint="eastAsia"/>
                      <w:kern w:val="0"/>
                      <w:sz w:val="24"/>
                      <w:szCs w:val="24"/>
                      <w:lang w:val="en-GB" w:bidi="ar-AE"/>
                    </w:rPr>
                    <w:t>凉山</w:t>
                  </w:r>
                  <w:r>
                    <w:rPr>
                      <w:rFonts w:ascii="宋体" w:eastAsia="宋体" w:hAnsi="宋体" w:cs="Times New Roman" w:hint="eastAsia"/>
                      <w:kern w:val="0"/>
                      <w:sz w:val="24"/>
                      <w:szCs w:val="24"/>
                      <w:lang w:val="en-GB" w:bidi="ar-AE"/>
                    </w:rPr>
                    <w:t>彝族自治州综合医院医疗服务市场</w:t>
                  </w:r>
                </w:p>
                <w:p w:rsidR="006D0710" w:rsidRDefault="006D0710">
                  <w:pPr>
                    <w:widowControl/>
                    <w:adjustRightInd/>
                    <w:jc w:val="left"/>
                    <w:rPr>
                      <w:rFonts w:ascii="宋体" w:eastAsia="宋体" w:hAnsi="宋体" w:cs="Times New Roman"/>
                      <w:kern w:val="0"/>
                      <w:sz w:val="24"/>
                      <w:szCs w:val="24"/>
                      <w:lang w:val="en-GB" w:bidi="ar-AE"/>
                    </w:rPr>
                  </w:pPr>
                  <w:r>
                    <w:rPr>
                      <w:rFonts w:ascii="宋体" w:eastAsia="宋体" w:hAnsi="宋体" w:cs="Times New Roman" w:hint="eastAsia"/>
                      <w:kern w:val="0"/>
                      <w:sz w:val="24"/>
                      <w:szCs w:val="24"/>
                      <w:lang w:val="en-GB" w:bidi="ar-AE"/>
                    </w:rPr>
                    <w:t>川投集团：</w:t>
                  </w:r>
                  <w:r>
                    <w:rPr>
                      <w:rFonts w:ascii="宋体" w:eastAsia="宋体" w:hAnsi="宋体" w:cs="Times New Roman"/>
                      <w:kern w:val="0"/>
                      <w:sz w:val="24"/>
                      <w:szCs w:val="24"/>
                      <w:lang w:val="en-GB" w:bidi="ar-AE"/>
                    </w:rPr>
                    <w:t>0-5%</w:t>
                  </w:r>
                </w:p>
              </w:tc>
            </w:tr>
          </w:tbl>
          <w:p w:rsidR="006A15A9" w:rsidRDefault="006A15A9">
            <w:pPr>
              <w:widowControl/>
              <w:adjustRightInd/>
              <w:rPr>
                <w:rFonts w:ascii="宋体" w:eastAsia="宋体" w:hAnsi="宋体" w:cs="Times New Roman"/>
                <w:kern w:val="0"/>
                <w:sz w:val="24"/>
                <w:szCs w:val="24"/>
                <w:lang w:val="en-GB" w:bidi="ar-AE"/>
              </w:rPr>
            </w:pPr>
            <w:bookmarkStart w:id="0" w:name="_GoBack"/>
            <w:bookmarkEnd w:id="0"/>
          </w:p>
        </w:tc>
      </w:tr>
    </w:tbl>
    <w:p w:rsidR="006A15A9" w:rsidRDefault="006A15A9">
      <w:pPr>
        <w:pStyle w:val="KWMCN-d"/>
      </w:pPr>
    </w:p>
    <w:sectPr w:rsidR="006A15A9">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D08" w:rsidRDefault="00036D08">
      <w:r>
        <w:separator/>
      </w:r>
    </w:p>
  </w:endnote>
  <w:endnote w:type="continuationSeparator" w:id="0">
    <w:p w:rsidR="00036D08" w:rsidRDefault="00036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5A9" w:rsidRDefault="006A15A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6A15A9">
      <w:tc>
        <w:tcPr>
          <w:tcW w:w="4114" w:type="pct"/>
        </w:tcPr>
        <w:p w:rsidR="006A15A9" w:rsidRDefault="006A15A9">
          <w:pPr>
            <w:rPr>
              <w:rFonts w:ascii="Arial" w:eastAsia="楷体_GB2312" w:hAnsi="Arial" w:cs="Arial"/>
              <w:sz w:val="18"/>
              <w:szCs w:val="18"/>
            </w:rPr>
          </w:pPr>
        </w:p>
      </w:tc>
      <w:tc>
        <w:tcPr>
          <w:tcW w:w="886" w:type="pct"/>
        </w:tcPr>
        <w:p w:rsidR="006A15A9" w:rsidRDefault="002B5398">
          <w:pPr>
            <w:jc w:val="right"/>
            <w:rPr>
              <w:rFonts w:ascii="Arial" w:eastAsia="楷体_GB2312" w:hAnsi="Arial" w:cs="Arial"/>
              <w:sz w:val="18"/>
              <w:szCs w:val="18"/>
            </w:rPr>
          </w:pPr>
          <w:r>
            <w:rPr>
              <w:rFonts w:ascii="Arial" w:eastAsia="楷体_GB2312" w:hAnsi="Arial" w:cs="Arial"/>
              <w:sz w:val="18"/>
              <w:szCs w:val="18"/>
            </w:rPr>
            <w:fldChar w:fldCharType="begin"/>
          </w:r>
          <w:r>
            <w:rPr>
              <w:rFonts w:ascii="Arial" w:eastAsia="楷体_GB2312" w:hAnsi="Arial" w:cs="Arial"/>
              <w:sz w:val="18"/>
              <w:szCs w:val="18"/>
            </w:rPr>
            <w:instrText xml:space="preserve"> PAGE </w:instrText>
          </w:r>
          <w:r>
            <w:rPr>
              <w:rFonts w:ascii="Arial" w:eastAsia="楷体_GB2312" w:hAnsi="Arial" w:cs="Arial"/>
              <w:sz w:val="18"/>
              <w:szCs w:val="18"/>
            </w:rPr>
            <w:fldChar w:fldCharType="separate"/>
          </w:r>
          <w:r w:rsidR="00193615">
            <w:rPr>
              <w:rFonts w:ascii="Arial" w:eastAsia="楷体_GB2312" w:hAnsi="Arial" w:cs="Arial"/>
              <w:noProof/>
              <w:sz w:val="18"/>
              <w:szCs w:val="18"/>
            </w:rPr>
            <w:t>2</w:t>
          </w:r>
          <w:r>
            <w:rPr>
              <w:rFonts w:ascii="Arial" w:eastAsia="楷体_GB2312" w:hAnsi="Arial" w:cs="Arial"/>
              <w:sz w:val="18"/>
              <w:szCs w:val="18"/>
            </w:rPr>
            <w:fldChar w:fldCharType="end"/>
          </w:r>
        </w:p>
      </w:tc>
    </w:tr>
  </w:tbl>
  <w:p w:rsidR="006A15A9" w:rsidRDefault="006A15A9">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5A9" w:rsidRDefault="006A15A9">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D08" w:rsidRDefault="00036D08">
      <w:r>
        <w:separator/>
      </w:r>
    </w:p>
  </w:footnote>
  <w:footnote w:type="continuationSeparator" w:id="0">
    <w:p w:rsidR="00036D08" w:rsidRDefault="00036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5A9" w:rsidRDefault="006A15A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5A9" w:rsidRDefault="006A15A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5A9" w:rsidRDefault="006A15A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08B11C5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10DA225B"/>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1ACB0D08"/>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left"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left"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E67D87"/>
    <w:multiLevelType w:val="multilevel"/>
    <w:tmpl w:val="22E67D87"/>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4" w15:restartNumberingAfterBreak="0">
    <w:nsid w:val="238A1512"/>
    <w:multiLevelType w:val="multilevel"/>
    <w:tmpl w:val="238A1512"/>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57F3860"/>
    <w:multiLevelType w:val="multilevel"/>
    <w:tmpl w:val="257F3860"/>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2F2A2A4D"/>
    <w:multiLevelType w:val="multilevel"/>
    <w:tmpl w:val="2F2A2A4D"/>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7" w15:restartNumberingAfterBreak="0">
    <w:nsid w:val="32B15ED0"/>
    <w:multiLevelType w:val="multilevel"/>
    <w:tmpl w:val="32B15ED0"/>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8" w15:restartNumberingAfterBreak="0">
    <w:nsid w:val="32F63391"/>
    <w:multiLevelType w:val="multilevel"/>
    <w:tmpl w:val="32F63391"/>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left"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56238E7"/>
    <w:multiLevelType w:val="multilevel"/>
    <w:tmpl w:val="356238E7"/>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3D8F4AF6"/>
    <w:multiLevelType w:val="multilevel"/>
    <w:tmpl w:val="3D8F4AF6"/>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41162E3A"/>
    <w:multiLevelType w:val="multilevel"/>
    <w:tmpl w:val="41162E3A"/>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2" w15:restartNumberingAfterBreak="0">
    <w:nsid w:val="43972FF6"/>
    <w:multiLevelType w:val="multilevel"/>
    <w:tmpl w:val="43972FF6"/>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3" w15:restartNumberingAfterBreak="0">
    <w:nsid w:val="4DAE4F79"/>
    <w:multiLevelType w:val="multilevel"/>
    <w:tmpl w:val="4DAE4F79"/>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01F0A1D"/>
    <w:multiLevelType w:val="multilevel"/>
    <w:tmpl w:val="501F0A1D"/>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5" w15:restartNumberingAfterBreak="0">
    <w:nsid w:val="55847832"/>
    <w:multiLevelType w:val="multilevel"/>
    <w:tmpl w:val="5584783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6" w15:restartNumberingAfterBreak="0">
    <w:nsid w:val="68DF0B3E"/>
    <w:multiLevelType w:val="multilevel"/>
    <w:tmpl w:val="68DF0B3E"/>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F6B36C8"/>
    <w:multiLevelType w:val="multilevel"/>
    <w:tmpl w:val="6F6B36C8"/>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8" w15:restartNumberingAfterBreak="0">
    <w:nsid w:val="6F723ADA"/>
    <w:multiLevelType w:val="multilevel"/>
    <w:tmpl w:val="6F723ADA"/>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left"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left"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19" w15:restartNumberingAfterBreak="0">
    <w:nsid w:val="799D452D"/>
    <w:multiLevelType w:val="multilevel"/>
    <w:tmpl w:val="799D452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12"/>
  </w:num>
  <w:num w:numId="4">
    <w:abstractNumId w:val="14"/>
  </w:num>
  <w:num w:numId="5">
    <w:abstractNumId w:val="11"/>
  </w:num>
  <w:num w:numId="6">
    <w:abstractNumId w:val="15"/>
  </w:num>
  <w:num w:numId="7">
    <w:abstractNumId w:val="17"/>
  </w:num>
  <w:num w:numId="8">
    <w:abstractNumId w:val="13"/>
  </w:num>
  <w:num w:numId="9">
    <w:abstractNumId w:val="1"/>
  </w:num>
  <w:num w:numId="10">
    <w:abstractNumId w:val="16"/>
  </w:num>
  <w:num w:numId="11">
    <w:abstractNumId w:val="6"/>
  </w:num>
  <w:num w:numId="12">
    <w:abstractNumId w:val="9"/>
  </w:num>
  <w:num w:numId="13">
    <w:abstractNumId w:val="3"/>
  </w:num>
  <w:num w:numId="14">
    <w:abstractNumId w:val="7"/>
  </w:num>
  <w:num w:numId="15">
    <w:abstractNumId w:val="10"/>
  </w:num>
  <w:num w:numId="16">
    <w:abstractNumId w:val="2"/>
  </w:num>
  <w:num w:numId="17">
    <w:abstractNumId w:val="8"/>
  </w:num>
  <w:num w:numId="18">
    <w:abstractNumId w:val="18"/>
  </w:num>
  <w:num w:numId="19">
    <w:abstractNumId w:val="0"/>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897"/>
    <w:rsid w:val="000074D6"/>
    <w:rsid w:val="00020921"/>
    <w:rsid w:val="000232B6"/>
    <w:rsid w:val="0002630D"/>
    <w:rsid w:val="00035C85"/>
    <w:rsid w:val="00036D08"/>
    <w:rsid w:val="0004601F"/>
    <w:rsid w:val="00047C37"/>
    <w:rsid w:val="00060FF4"/>
    <w:rsid w:val="00061448"/>
    <w:rsid w:val="0006493F"/>
    <w:rsid w:val="00065232"/>
    <w:rsid w:val="00073FF0"/>
    <w:rsid w:val="00076E13"/>
    <w:rsid w:val="00077FC6"/>
    <w:rsid w:val="00080FF8"/>
    <w:rsid w:val="000904A0"/>
    <w:rsid w:val="00095070"/>
    <w:rsid w:val="000A19FE"/>
    <w:rsid w:val="000A2606"/>
    <w:rsid w:val="000A63D6"/>
    <w:rsid w:val="000B1B32"/>
    <w:rsid w:val="000B326B"/>
    <w:rsid w:val="000C3E88"/>
    <w:rsid w:val="000C6614"/>
    <w:rsid w:val="000D4119"/>
    <w:rsid w:val="000D4457"/>
    <w:rsid w:val="000E1DE7"/>
    <w:rsid w:val="000E65EB"/>
    <w:rsid w:val="000F2A7F"/>
    <w:rsid w:val="000F6244"/>
    <w:rsid w:val="00100F24"/>
    <w:rsid w:val="00103CE6"/>
    <w:rsid w:val="001076B2"/>
    <w:rsid w:val="00113041"/>
    <w:rsid w:val="0011570E"/>
    <w:rsid w:val="00116C9C"/>
    <w:rsid w:val="00117108"/>
    <w:rsid w:val="001205C5"/>
    <w:rsid w:val="00123BD1"/>
    <w:rsid w:val="00132018"/>
    <w:rsid w:val="001339DC"/>
    <w:rsid w:val="001365F7"/>
    <w:rsid w:val="001420FD"/>
    <w:rsid w:val="00145990"/>
    <w:rsid w:val="00184814"/>
    <w:rsid w:val="00185967"/>
    <w:rsid w:val="001874AA"/>
    <w:rsid w:val="001920FA"/>
    <w:rsid w:val="00193615"/>
    <w:rsid w:val="0019713F"/>
    <w:rsid w:val="001A3D7C"/>
    <w:rsid w:val="001A58C4"/>
    <w:rsid w:val="001B03FE"/>
    <w:rsid w:val="001B75C3"/>
    <w:rsid w:val="001C166E"/>
    <w:rsid w:val="001C560F"/>
    <w:rsid w:val="001D3063"/>
    <w:rsid w:val="001E0583"/>
    <w:rsid w:val="001E254B"/>
    <w:rsid w:val="001F344E"/>
    <w:rsid w:val="0021557D"/>
    <w:rsid w:val="002171BD"/>
    <w:rsid w:val="00217647"/>
    <w:rsid w:val="00220941"/>
    <w:rsid w:val="00220FEF"/>
    <w:rsid w:val="0022614A"/>
    <w:rsid w:val="00226A4E"/>
    <w:rsid w:val="00227E46"/>
    <w:rsid w:val="00237466"/>
    <w:rsid w:val="00240481"/>
    <w:rsid w:val="00243B6F"/>
    <w:rsid w:val="00246349"/>
    <w:rsid w:val="002617A5"/>
    <w:rsid w:val="0026417D"/>
    <w:rsid w:val="00267643"/>
    <w:rsid w:val="002818E4"/>
    <w:rsid w:val="00281F96"/>
    <w:rsid w:val="00293995"/>
    <w:rsid w:val="00294355"/>
    <w:rsid w:val="002A0A9D"/>
    <w:rsid w:val="002A6A9F"/>
    <w:rsid w:val="002B5398"/>
    <w:rsid w:val="002B6E81"/>
    <w:rsid w:val="002C1783"/>
    <w:rsid w:val="002C7D84"/>
    <w:rsid w:val="002D2D0A"/>
    <w:rsid w:val="002D3F29"/>
    <w:rsid w:val="002E7F58"/>
    <w:rsid w:val="002F7F7A"/>
    <w:rsid w:val="003013A4"/>
    <w:rsid w:val="00303A74"/>
    <w:rsid w:val="00304B85"/>
    <w:rsid w:val="00304CED"/>
    <w:rsid w:val="00317159"/>
    <w:rsid w:val="00317C2C"/>
    <w:rsid w:val="00330A7A"/>
    <w:rsid w:val="0033284E"/>
    <w:rsid w:val="00332F1D"/>
    <w:rsid w:val="0033575C"/>
    <w:rsid w:val="00335FF9"/>
    <w:rsid w:val="00337398"/>
    <w:rsid w:val="0034634D"/>
    <w:rsid w:val="00346F0C"/>
    <w:rsid w:val="003534C5"/>
    <w:rsid w:val="00356D88"/>
    <w:rsid w:val="00360654"/>
    <w:rsid w:val="00365D90"/>
    <w:rsid w:val="00374CA0"/>
    <w:rsid w:val="00382836"/>
    <w:rsid w:val="003A0A50"/>
    <w:rsid w:val="003B382A"/>
    <w:rsid w:val="003B4596"/>
    <w:rsid w:val="003B46FF"/>
    <w:rsid w:val="003C0DCE"/>
    <w:rsid w:val="003C2831"/>
    <w:rsid w:val="003C429B"/>
    <w:rsid w:val="003D4118"/>
    <w:rsid w:val="003D6857"/>
    <w:rsid w:val="003D7803"/>
    <w:rsid w:val="003E1337"/>
    <w:rsid w:val="003E72FD"/>
    <w:rsid w:val="003F2C1D"/>
    <w:rsid w:val="003F78DC"/>
    <w:rsid w:val="003F7E2E"/>
    <w:rsid w:val="004027A6"/>
    <w:rsid w:val="00406544"/>
    <w:rsid w:val="0040663E"/>
    <w:rsid w:val="00410FF5"/>
    <w:rsid w:val="00411F7F"/>
    <w:rsid w:val="00422D81"/>
    <w:rsid w:val="00424345"/>
    <w:rsid w:val="00426D13"/>
    <w:rsid w:val="00427530"/>
    <w:rsid w:val="0043086F"/>
    <w:rsid w:val="004328E8"/>
    <w:rsid w:val="00444B6A"/>
    <w:rsid w:val="00454EDE"/>
    <w:rsid w:val="00457FE5"/>
    <w:rsid w:val="00472E6B"/>
    <w:rsid w:val="00474A76"/>
    <w:rsid w:val="00496C70"/>
    <w:rsid w:val="004A1A00"/>
    <w:rsid w:val="004A2CBD"/>
    <w:rsid w:val="004A6241"/>
    <w:rsid w:val="004B0A5D"/>
    <w:rsid w:val="004B7844"/>
    <w:rsid w:val="004C6275"/>
    <w:rsid w:val="004D5509"/>
    <w:rsid w:val="004D6353"/>
    <w:rsid w:val="004E0E7A"/>
    <w:rsid w:val="004E6263"/>
    <w:rsid w:val="004F4BBC"/>
    <w:rsid w:val="004F673B"/>
    <w:rsid w:val="00517BBF"/>
    <w:rsid w:val="00522481"/>
    <w:rsid w:val="00523083"/>
    <w:rsid w:val="00542643"/>
    <w:rsid w:val="0054456E"/>
    <w:rsid w:val="0055152A"/>
    <w:rsid w:val="00556E19"/>
    <w:rsid w:val="00557D61"/>
    <w:rsid w:val="005670CF"/>
    <w:rsid w:val="005702C3"/>
    <w:rsid w:val="00574227"/>
    <w:rsid w:val="00581626"/>
    <w:rsid w:val="00596B44"/>
    <w:rsid w:val="005A6504"/>
    <w:rsid w:val="005A74F2"/>
    <w:rsid w:val="005C2EB8"/>
    <w:rsid w:val="005C594B"/>
    <w:rsid w:val="005D20D8"/>
    <w:rsid w:val="005D28BF"/>
    <w:rsid w:val="005D4113"/>
    <w:rsid w:val="005D76A3"/>
    <w:rsid w:val="005E0B75"/>
    <w:rsid w:val="005E0B80"/>
    <w:rsid w:val="005E2222"/>
    <w:rsid w:val="005E4498"/>
    <w:rsid w:val="005E5C12"/>
    <w:rsid w:val="005F2307"/>
    <w:rsid w:val="005F3065"/>
    <w:rsid w:val="005F3C9E"/>
    <w:rsid w:val="00613054"/>
    <w:rsid w:val="00617682"/>
    <w:rsid w:val="0062255D"/>
    <w:rsid w:val="00640C19"/>
    <w:rsid w:val="00641909"/>
    <w:rsid w:val="00644B45"/>
    <w:rsid w:val="006460FC"/>
    <w:rsid w:val="00646B5C"/>
    <w:rsid w:val="006470A4"/>
    <w:rsid w:val="0065672C"/>
    <w:rsid w:val="006616D6"/>
    <w:rsid w:val="00661D37"/>
    <w:rsid w:val="0066378A"/>
    <w:rsid w:val="00667D2C"/>
    <w:rsid w:val="0067075D"/>
    <w:rsid w:val="00671930"/>
    <w:rsid w:val="006759E9"/>
    <w:rsid w:val="00683DC6"/>
    <w:rsid w:val="006956D9"/>
    <w:rsid w:val="006A0613"/>
    <w:rsid w:val="006A15A9"/>
    <w:rsid w:val="006A3BAA"/>
    <w:rsid w:val="006A48BB"/>
    <w:rsid w:val="006B536A"/>
    <w:rsid w:val="006B7858"/>
    <w:rsid w:val="006C1BDD"/>
    <w:rsid w:val="006C36A7"/>
    <w:rsid w:val="006D0710"/>
    <w:rsid w:val="006D7CF5"/>
    <w:rsid w:val="006E0D56"/>
    <w:rsid w:val="006F7ED4"/>
    <w:rsid w:val="007024A0"/>
    <w:rsid w:val="00705E29"/>
    <w:rsid w:val="00714AA1"/>
    <w:rsid w:val="00724DB5"/>
    <w:rsid w:val="00730932"/>
    <w:rsid w:val="00733FEF"/>
    <w:rsid w:val="00745B26"/>
    <w:rsid w:val="0076132B"/>
    <w:rsid w:val="00781A6D"/>
    <w:rsid w:val="007852FE"/>
    <w:rsid w:val="00792E1D"/>
    <w:rsid w:val="00795897"/>
    <w:rsid w:val="00795DB8"/>
    <w:rsid w:val="00796D2A"/>
    <w:rsid w:val="007A079A"/>
    <w:rsid w:val="007A518C"/>
    <w:rsid w:val="007B1590"/>
    <w:rsid w:val="007B5FE3"/>
    <w:rsid w:val="007B711C"/>
    <w:rsid w:val="007C6509"/>
    <w:rsid w:val="007C6641"/>
    <w:rsid w:val="007C6F0D"/>
    <w:rsid w:val="007D3992"/>
    <w:rsid w:val="007D5CA0"/>
    <w:rsid w:val="007D69CB"/>
    <w:rsid w:val="007D6CBC"/>
    <w:rsid w:val="007E244A"/>
    <w:rsid w:val="007E4941"/>
    <w:rsid w:val="007F4374"/>
    <w:rsid w:val="00804D96"/>
    <w:rsid w:val="00812033"/>
    <w:rsid w:val="00817126"/>
    <w:rsid w:val="008324FA"/>
    <w:rsid w:val="00844A81"/>
    <w:rsid w:val="00850F30"/>
    <w:rsid w:val="008541C1"/>
    <w:rsid w:val="008622E3"/>
    <w:rsid w:val="0087071F"/>
    <w:rsid w:val="00876707"/>
    <w:rsid w:val="008819A3"/>
    <w:rsid w:val="00886565"/>
    <w:rsid w:val="00890A24"/>
    <w:rsid w:val="00896E91"/>
    <w:rsid w:val="008A45CF"/>
    <w:rsid w:val="008B4C01"/>
    <w:rsid w:val="008C2F6B"/>
    <w:rsid w:val="008C5828"/>
    <w:rsid w:val="008C58F0"/>
    <w:rsid w:val="008C6BB1"/>
    <w:rsid w:val="008D735C"/>
    <w:rsid w:val="008F0586"/>
    <w:rsid w:val="008F2B7E"/>
    <w:rsid w:val="008F52AE"/>
    <w:rsid w:val="008F52F2"/>
    <w:rsid w:val="008F7812"/>
    <w:rsid w:val="0091219C"/>
    <w:rsid w:val="0091399C"/>
    <w:rsid w:val="0091690D"/>
    <w:rsid w:val="00922FDD"/>
    <w:rsid w:val="009252A7"/>
    <w:rsid w:val="00934013"/>
    <w:rsid w:val="009419B7"/>
    <w:rsid w:val="00941C3F"/>
    <w:rsid w:val="00943698"/>
    <w:rsid w:val="00943A4E"/>
    <w:rsid w:val="0095472F"/>
    <w:rsid w:val="009560F7"/>
    <w:rsid w:val="009A68FE"/>
    <w:rsid w:val="009B06C2"/>
    <w:rsid w:val="009B48D9"/>
    <w:rsid w:val="009C0665"/>
    <w:rsid w:val="009C2CF0"/>
    <w:rsid w:val="009E3EDC"/>
    <w:rsid w:val="009E50CC"/>
    <w:rsid w:val="009E6860"/>
    <w:rsid w:val="009E7B1D"/>
    <w:rsid w:val="009F146C"/>
    <w:rsid w:val="009F3881"/>
    <w:rsid w:val="009F4EA0"/>
    <w:rsid w:val="009F5EF8"/>
    <w:rsid w:val="009F7C00"/>
    <w:rsid w:val="00A0028C"/>
    <w:rsid w:val="00A00550"/>
    <w:rsid w:val="00A0111E"/>
    <w:rsid w:val="00A06B7E"/>
    <w:rsid w:val="00A0721A"/>
    <w:rsid w:val="00A10D1C"/>
    <w:rsid w:val="00A3476D"/>
    <w:rsid w:val="00A41135"/>
    <w:rsid w:val="00A4448E"/>
    <w:rsid w:val="00A46A40"/>
    <w:rsid w:val="00A479D7"/>
    <w:rsid w:val="00A61043"/>
    <w:rsid w:val="00A61945"/>
    <w:rsid w:val="00A656F8"/>
    <w:rsid w:val="00A75F3E"/>
    <w:rsid w:val="00A81C12"/>
    <w:rsid w:val="00A872D2"/>
    <w:rsid w:val="00A87F29"/>
    <w:rsid w:val="00A92B7F"/>
    <w:rsid w:val="00AB1090"/>
    <w:rsid w:val="00AB2C94"/>
    <w:rsid w:val="00AB74D5"/>
    <w:rsid w:val="00AC1B51"/>
    <w:rsid w:val="00AC3677"/>
    <w:rsid w:val="00AC4B3E"/>
    <w:rsid w:val="00AC6280"/>
    <w:rsid w:val="00AC6704"/>
    <w:rsid w:val="00AD6352"/>
    <w:rsid w:val="00AF56AD"/>
    <w:rsid w:val="00B000C2"/>
    <w:rsid w:val="00B0724D"/>
    <w:rsid w:val="00B11CC8"/>
    <w:rsid w:val="00B1403A"/>
    <w:rsid w:val="00B15AE5"/>
    <w:rsid w:val="00B16501"/>
    <w:rsid w:val="00B22ED1"/>
    <w:rsid w:val="00B269F3"/>
    <w:rsid w:val="00B321F1"/>
    <w:rsid w:val="00B33956"/>
    <w:rsid w:val="00B36F87"/>
    <w:rsid w:val="00B42636"/>
    <w:rsid w:val="00B44E9A"/>
    <w:rsid w:val="00B51FF2"/>
    <w:rsid w:val="00B574CD"/>
    <w:rsid w:val="00B652F5"/>
    <w:rsid w:val="00B80CCE"/>
    <w:rsid w:val="00B82A6C"/>
    <w:rsid w:val="00B85251"/>
    <w:rsid w:val="00B9453A"/>
    <w:rsid w:val="00BB7B1E"/>
    <w:rsid w:val="00BC0693"/>
    <w:rsid w:val="00BC1A0E"/>
    <w:rsid w:val="00BC27FC"/>
    <w:rsid w:val="00BC3DC6"/>
    <w:rsid w:val="00BF3A06"/>
    <w:rsid w:val="00BF4719"/>
    <w:rsid w:val="00C0088A"/>
    <w:rsid w:val="00C00BD4"/>
    <w:rsid w:val="00C01C94"/>
    <w:rsid w:val="00C1218E"/>
    <w:rsid w:val="00C13BAF"/>
    <w:rsid w:val="00C14E5E"/>
    <w:rsid w:val="00C16071"/>
    <w:rsid w:val="00C175F0"/>
    <w:rsid w:val="00C17E48"/>
    <w:rsid w:val="00C205C7"/>
    <w:rsid w:val="00C250F1"/>
    <w:rsid w:val="00C300D1"/>
    <w:rsid w:val="00C410EB"/>
    <w:rsid w:val="00C41B7A"/>
    <w:rsid w:val="00C422C5"/>
    <w:rsid w:val="00C4296D"/>
    <w:rsid w:val="00C457FC"/>
    <w:rsid w:val="00C5060F"/>
    <w:rsid w:val="00C52A9F"/>
    <w:rsid w:val="00C57D52"/>
    <w:rsid w:val="00C645F6"/>
    <w:rsid w:val="00C66480"/>
    <w:rsid w:val="00C73566"/>
    <w:rsid w:val="00C87CE4"/>
    <w:rsid w:val="00C90164"/>
    <w:rsid w:val="00C91E3F"/>
    <w:rsid w:val="00C96AAA"/>
    <w:rsid w:val="00CA247F"/>
    <w:rsid w:val="00CA50D6"/>
    <w:rsid w:val="00CB2C43"/>
    <w:rsid w:val="00CB3B76"/>
    <w:rsid w:val="00CC1235"/>
    <w:rsid w:val="00CD3273"/>
    <w:rsid w:val="00CE0670"/>
    <w:rsid w:val="00CF2F15"/>
    <w:rsid w:val="00D02B43"/>
    <w:rsid w:val="00D045B2"/>
    <w:rsid w:val="00D14807"/>
    <w:rsid w:val="00D2423F"/>
    <w:rsid w:val="00D26041"/>
    <w:rsid w:val="00D33C82"/>
    <w:rsid w:val="00D4017C"/>
    <w:rsid w:val="00D41BA2"/>
    <w:rsid w:val="00D44812"/>
    <w:rsid w:val="00D468B0"/>
    <w:rsid w:val="00D54DCF"/>
    <w:rsid w:val="00D55381"/>
    <w:rsid w:val="00D567CB"/>
    <w:rsid w:val="00D62EAF"/>
    <w:rsid w:val="00D636C2"/>
    <w:rsid w:val="00D639FC"/>
    <w:rsid w:val="00D650A8"/>
    <w:rsid w:val="00D6798C"/>
    <w:rsid w:val="00D744F4"/>
    <w:rsid w:val="00D74807"/>
    <w:rsid w:val="00D74942"/>
    <w:rsid w:val="00D868E4"/>
    <w:rsid w:val="00D90ADE"/>
    <w:rsid w:val="00D93094"/>
    <w:rsid w:val="00DA080A"/>
    <w:rsid w:val="00DA2847"/>
    <w:rsid w:val="00DA60DB"/>
    <w:rsid w:val="00DA6611"/>
    <w:rsid w:val="00DA6727"/>
    <w:rsid w:val="00DA6899"/>
    <w:rsid w:val="00DB2881"/>
    <w:rsid w:val="00DB6778"/>
    <w:rsid w:val="00DC04F8"/>
    <w:rsid w:val="00DC2A2C"/>
    <w:rsid w:val="00DD1D0B"/>
    <w:rsid w:val="00DD243C"/>
    <w:rsid w:val="00DE6F37"/>
    <w:rsid w:val="00DE78BB"/>
    <w:rsid w:val="00DF5E98"/>
    <w:rsid w:val="00DF6D2E"/>
    <w:rsid w:val="00E05321"/>
    <w:rsid w:val="00E101D5"/>
    <w:rsid w:val="00E12C74"/>
    <w:rsid w:val="00E24CCA"/>
    <w:rsid w:val="00E3417C"/>
    <w:rsid w:val="00E419C9"/>
    <w:rsid w:val="00E4323F"/>
    <w:rsid w:val="00E51035"/>
    <w:rsid w:val="00E56187"/>
    <w:rsid w:val="00E57B45"/>
    <w:rsid w:val="00E67791"/>
    <w:rsid w:val="00E90FCF"/>
    <w:rsid w:val="00E91CAA"/>
    <w:rsid w:val="00E95BDB"/>
    <w:rsid w:val="00E95ED6"/>
    <w:rsid w:val="00E968E0"/>
    <w:rsid w:val="00EA0045"/>
    <w:rsid w:val="00EA247B"/>
    <w:rsid w:val="00EB4F1B"/>
    <w:rsid w:val="00EB5949"/>
    <w:rsid w:val="00EB5960"/>
    <w:rsid w:val="00EB6D7A"/>
    <w:rsid w:val="00EC0165"/>
    <w:rsid w:val="00EC32A9"/>
    <w:rsid w:val="00ED0DD9"/>
    <w:rsid w:val="00EE25EF"/>
    <w:rsid w:val="00EF32C9"/>
    <w:rsid w:val="00EF61BA"/>
    <w:rsid w:val="00F0543D"/>
    <w:rsid w:val="00F07C7D"/>
    <w:rsid w:val="00F1219A"/>
    <w:rsid w:val="00F12784"/>
    <w:rsid w:val="00F148CE"/>
    <w:rsid w:val="00F247CA"/>
    <w:rsid w:val="00F266D8"/>
    <w:rsid w:val="00F45C42"/>
    <w:rsid w:val="00F4691D"/>
    <w:rsid w:val="00F5076C"/>
    <w:rsid w:val="00F5418B"/>
    <w:rsid w:val="00F60C76"/>
    <w:rsid w:val="00F623B7"/>
    <w:rsid w:val="00F65A63"/>
    <w:rsid w:val="00F731C7"/>
    <w:rsid w:val="00F73A5E"/>
    <w:rsid w:val="00F743F2"/>
    <w:rsid w:val="00F82B9A"/>
    <w:rsid w:val="00F84440"/>
    <w:rsid w:val="00F9062E"/>
    <w:rsid w:val="00F96C5A"/>
    <w:rsid w:val="00FA0389"/>
    <w:rsid w:val="00FA6CCD"/>
    <w:rsid w:val="00FB145A"/>
    <w:rsid w:val="00FB4424"/>
    <w:rsid w:val="00FB6783"/>
    <w:rsid w:val="00FC0DCC"/>
    <w:rsid w:val="00FC7737"/>
    <w:rsid w:val="00FC79E2"/>
    <w:rsid w:val="00FD1FE2"/>
    <w:rsid w:val="00FD3F9B"/>
    <w:rsid w:val="00FE100A"/>
    <w:rsid w:val="00FE2FAD"/>
    <w:rsid w:val="00FE6155"/>
    <w:rsid w:val="00FF0D99"/>
    <w:rsid w:val="00FF3A01"/>
    <w:rsid w:val="77D27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08679AE0-54A6-4191-8DB9-B5CBD1CE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jc w:val="both"/>
    </w:pPr>
    <w:rPr>
      <w:rFonts w:ascii="等线" w:eastAsia="等线" w:hAnsi="等线"/>
      <w:kern w:val="2"/>
      <w:sz w:val="21"/>
      <w:szCs w:val="22"/>
    </w:rPr>
  </w:style>
  <w:style w:type="paragraph" w:styleId="1">
    <w:name w:val="heading 1"/>
    <w:basedOn w:val="a"/>
    <w:next w:val="a0"/>
    <w:link w:val="10"/>
    <w:uiPriority w:val="9"/>
    <w:semiHidden/>
    <w:qFormat/>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qFormat/>
    <w:pPr>
      <w:keepNext/>
      <w:keepLines/>
      <w:spacing w:before="260" w:after="260" w:line="416" w:lineRule="atLeast"/>
      <w:outlineLvl w:val="2"/>
    </w:pPr>
    <w:rPr>
      <w:rFonts w:ascii="Arial" w:eastAsia="楷体_GB2312" w:hAnsi="Arial"/>
      <w:b/>
      <w:bCs/>
      <w:sz w:val="32"/>
      <w:szCs w:val="32"/>
    </w:rPr>
  </w:style>
  <w:style w:type="paragraph" w:styleId="4">
    <w:name w:val="heading 4"/>
    <w:basedOn w:val="a0"/>
    <w:next w:val="a"/>
    <w:link w:val="40"/>
    <w:uiPriority w:val="9"/>
    <w:semiHidden/>
    <w:qFormat/>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next w:val="a"/>
    <w:link w:val="50"/>
    <w:uiPriority w:val="9"/>
    <w:semiHidden/>
    <w:qFormat/>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semiHidden/>
    <w:unhideWhenUsed/>
    <w:pPr>
      <w:spacing w:after="120"/>
    </w:pPr>
  </w:style>
  <w:style w:type="paragraph" w:styleId="71">
    <w:name w:val="toc 7"/>
    <w:basedOn w:val="KWMCN-d"/>
    <w:next w:val="KWMCN-d"/>
    <w:semiHidden/>
    <w:unhideWhenUsed/>
    <w:pPr>
      <w:ind w:leftChars="1200" w:left="2520"/>
    </w:pPr>
  </w:style>
  <w:style w:type="paragraph" w:customStyle="1" w:styleId="KWMCN-d">
    <w:name w:val="KWMCN-标准"/>
    <w:qFormat/>
    <w:pPr>
      <w:adjustRightInd w:val="0"/>
      <w:snapToGrid w:val="0"/>
      <w:spacing w:after="360" w:line="320" w:lineRule="atLeast"/>
      <w:jc w:val="both"/>
    </w:pPr>
    <w:rPr>
      <w:rFonts w:ascii="Arial" w:eastAsia="楷体_GB2312" w:hAnsi="Arial"/>
      <w:kern w:val="2"/>
      <w:sz w:val="24"/>
      <w:szCs w:val="21"/>
    </w:rPr>
  </w:style>
  <w:style w:type="paragraph" w:styleId="a5">
    <w:name w:val="caption"/>
    <w:basedOn w:val="a"/>
    <w:next w:val="a"/>
    <w:uiPriority w:val="35"/>
    <w:semiHidden/>
    <w:qFormat/>
    <w:pPr>
      <w:spacing w:after="360" w:line="320" w:lineRule="atLeast"/>
    </w:pPr>
    <w:rPr>
      <w:rFonts w:asciiTheme="majorHAnsi" w:eastAsia="黑体" w:hAnsiTheme="majorHAnsi" w:cstheme="majorBidi"/>
      <w:sz w:val="20"/>
      <w:szCs w:val="20"/>
    </w:rPr>
  </w:style>
  <w:style w:type="paragraph" w:styleId="a6">
    <w:name w:val="annotation text"/>
    <w:basedOn w:val="a"/>
    <w:link w:val="a7"/>
    <w:semiHidden/>
    <w:unhideWhenUsed/>
    <w:pPr>
      <w:jc w:val="left"/>
    </w:pPr>
  </w:style>
  <w:style w:type="paragraph" w:styleId="51">
    <w:name w:val="toc 5"/>
    <w:basedOn w:val="KWMCN-d"/>
    <w:next w:val="KWMCN-d"/>
    <w:semiHidden/>
    <w:unhideWhenUsed/>
    <w:pPr>
      <w:ind w:leftChars="800" w:left="1680"/>
    </w:pPr>
  </w:style>
  <w:style w:type="paragraph" w:styleId="31">
    <w:name w:val="toc 3"/>
    <w:basedOn w:val="KWMCN-d"/>
    <w:next w:val="KWMCN-d"/>
    <w:semiHidden/>
    <w:unhideWhenUsed/>
    <w:pPr>
      <w:ind w:leftChars="400" w:left="840"/>
    </w:pPr>
  </w:style>
  <w:style w:type="paragraph" w:styleId="81">
    <w:name w:val="toc 8"/>
    <w:basedOn w:val="KWMCN-d"/>
    <w:next w:val="KWMCN-d"/>
    <w:semiHidden/>
    <w:unhideWhenUsed/>
    <w:pPr>
      <w:ind w:leftChars="1400" w:left="2940"/>
    </w:pPr>
  </w:style>
  <w:style w:type="paragraph" w:styleId="a8">
    <w:name w:val="Balloon Text"/>
    <w:basedOn w:val="a"/>
    <w:link w:val="a9"/>
    <w:semiHidden/>
    <w:unhideWhenUsed/>
    <w:rPr>
      <w:sz w:val="18"/>
      <w:szCs w:val="18"/>
    </w:rPr>
  </w:style>
  <w:style w:type="paragraph" w:styleId="11">
    <w:name w:val="toc 1"/>
    <w:basedOn w:val="KWMCN-d"/>
    <w:next w:val="KWMCN-d"/>
    <w:uiPriority w:val="39"/>
    <w:unhideWhenUsed/>
  </w:style>
  <w:style w:type="paragraph" w:styleId="41">
    <w:name w:val="toc 4"/>
    <w:basedOn w:val="KWMCN-d"/>
    <w:next w:val="KWMCN-d"/>
    <w:semiHidden/>
    <w:unhideWhenUsed/>
    <w:pPr>
      <w:ind w:leftChars="600" w:left="1260"/>
    </w:pPr>
  </w:style>
  <w:style w:type="paragraph" w:styleId="aa">
    <w:name w:val="Subtitle"/>
    <w:basedOn w:val="a"/>
    <w:link w:val="ab"/>
    <w:uiPriority w:val="11"/>
    <w:qFormat/>
    <w:pPr>
      <w:spacing w:before="240" w:after="60" w:line="312" w:lineRule="atLeast"/>
      <w:jc w:val="center"/>
      <w:outlineLvl w:val="1"/>
    </w:pPr>
    <w:rPr>
      <w:rFonts w:asciiTheme="majorHAnsi" w:eastAsia="宋体" w:hAnsiTheme="majorHAnsi" w:cstheme="majorBidi"/>
      <w:b/>
      <w:bCs/>
      <w:kern w:val="28"/>
      <w:sz w:val="32"/>
      <w:szCs w:val="32"/>
    </w:rPr>
  </w:style>
  <w:style w:type="paragraph" w:styleId="61">
    <w:name w:val="toc 6"/>
    <w:basedOn w:val="KWMCN-d"/>
    <w:next w:val="KWMCN-d"/>
    <w:semiHidden/>
    <w:unhideWhenUsed/>
    <w:pPr>
      <w:ind w:leftChars="1000" w:left="2100"/>
    </w:pPr>
  </w:style>
  <w:style w:type="paragraph" w:styleId="21">
    <w:name w:val="toc 2"/>
    <w:basedOn w:val="KWMCN-d"/>
    <w:next w:val="KWMCN-d"/>
    <w:semiHidden/>
    <w:unhideWhenUsed/>
    <w:pPr>
      <w:ind w:leftChars="200" w:left="420"/>
    </w:pPr>
  </w:style>
  <w:style w:type="paragraph" w:styleId="91">
    <w:name w:val="toc 9"/>
    <w:basedOn w:val="KWMCN-d"/>
    <w:next w:val="KWMCN-d"/>
    <w:semiHidden/>
    <w:unhideWhenUsed/>
    <w:pPr>
      <w:ind w:leftChars="1600" w:left="3360"/>
    </w:pPr>
  </w:style>
  <w:style w:type="paragraph" w:styleId="ac">
    <w:name w:val="Title"/>
    <w:basedOn w:val="a"/>
    <w:link w:val="ad"/>
    <w:uiPriority w:val="10"/>
    <w:qFormat/>
    <w:pPr>
      <w:spacing w:before="240" w:after="60" w:line="320" w:lineRule="atLeast"/>
      <w:jc w:val="center"/>
      <w:outlineLvl w:val="0"/>
    </w:pPr>
    <w:rPr>
      <w:rFonts w:asciiTheme="majorHAnsi" w:eastAsia="宋体" w:hAnsiTheme="majorHAnsi" w:cstheme="majorBidi"/>
      <w:b/>
      <w:bCs/>
      <w:sz w:val="32"/>
      <w:szCs w:val="32"/>
    </w:rPr>
  </w:style>
  <w:style w:type="paragraph" w:styleId="ae">
    <w:name w:val="annotation subject"/>
    <w:basedOn w:val="a6"/>
    <w:next w:val="a6"/>
    <w:link w:val="af"/>
    <w:semiHidden/>
    <w:unhideWhenUsed/>
    <w:rPr>
      <w:b/>
      <w:bCs/>
    </w:rPr>
  </w:style>
  <w:style w:type="table" w:styleId="af0">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Emphasis"/>
    <w:uiPriority w:val="20"/>
    <w:qFormat/>
    <w:rPr>
      <w:i/>
      <w:iCs/>
    </w:rPr>
  </w:style>
  <w:style w:type="character" w:styleId="af3">
    <w:name w:val="annotation reference"/>
    <w:basedOn w:val="a1"/>
    <w:semiHidden/>
    <w:unhideWhenUsed/>
    <w:rPr>
      <w:sz w:val="21"/>
      <w:szCs w:val="21"/>
    </w:rPr>
  </w:style>
  <w:style w:type="character" w:customStyle="1" w:styleId="10">
    <w:name w:val="标题 1 字符"/>
    <w:basedOn w:val="a1"/>
    <w:link w:val="1"/>
    <w:uiPriority w:val="9"/>
    <w:semiHidden/>
    <w:rPr>
      <w:rFonts w:ascii="Arial" w:eastAsia="楷体_GB2312" w:hAnsi="Arial"/>
      <w:b/>
      <w:bCs/>
      <w:kern w:val="44"/>
      <w:sz w:val="44"/>
      <w:szCs w:val="44"/>
    </w:rPr>
  </w:style>
  <w:style w:type="character" w:customStyle="1" w:styleId="20">
    <w:name w:val="标题 2 字符"/>
    <w:basedOn w:val="a1"/>
    <w:link w:val="2"/>
    <w:uiPriority w:val="9"/>
    <w:semiHidden/>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Pr>
      <w:rFonts w:ascii="Arial" w:eastAsia="楷体_GB2312" w:hAnsi="Arial"/>
      <w:b/>
      <w:bCs/>
      <w:sz w:val="32"/>
      <w:szCs w:val="32"/>
    </w:rPr>
  </w:style>
  <w:style w:type="character" w:customStyle="1" w:styleId="40">
    <w:name w:val="标题 4 字符"/>
    <w:basedOn w:val="a1"/>
    <w:link w:val="4"/>
    <w:uiPriority w:val="9"/>
    <w:semiHidden/>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Pr>
      <w:rFonts w:ascii="Arial" w:eastAsia="楷体_GB2312" w:hAnsi="Arial"/>
      <w:b/>
      <w:bCs/>
      <w:sz w:val="28"/>
      <w:szCs w:val="28"/>
    </w:rPr>
  </w:style>
  <w:style w:type="character" w:customStyle="1" w:styleId="60">
    <w:name w:val="标题 6 字符"/>
    <w:basedOn w:val="a1"/>
    <w:link w:val="6"/>
    <w:uiPriority w:val="9"/>
    <w:semiHidden/>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Pr>
      <w:rFonts w:ascii="Arial" w:eastAsia="楷体_GB2312" w:hAnsi="Arial"/>
      <w:b/>
      <w:bCs/>
      <w:sz w:val="24"/>
      <w:szCs w:val="24"/>
    </w:rPr>
  </w:style>
  <w:style w:type="character" w:customStyle="1" w:styleId="80">
    <w:name w:val="标题 8 字符"/>
    <w:basedOn w:val="a1"/>
    <w:link w:val="8"/>
    <w:uiPriority w:val="9"/>
    <w:semiHidden/>
    <w:rPr>
      <w:rFonts w:asciiTheme="majorHAnsi" w:eastAsiaTheme="majorEastAsia" w:hAnsiTheme="majorHAnsi" w:cstheme="majorBidi"/>
      <w:sz w:val="24"/>
      <w:szCs w:val="24"/>
    </w:rPr>
  </w:style>
  <w:style w:type="character" w:customStyle="1" w:styleId="90">
    <w:name w:val="标题 9 字符"/>
    <w:basedOn w:val="a1"/>
    <w:link w:val="9"/>
    <w:uiPriority w:val="9"/>
    <w:semiHidden/>
    <w:rPr>
      <w:rFonts w:asciiTheme="majorHAnsi" w:eastAsiaTheme="majorEastAsia" w:hAnsiTheme="majorHAnsi" w:cstheme="majorBidi"/>
    </w:rPr>
  </w:style>
  <w:style w:type="paragraph" w:customStyle="1" w:styleId="KWMCN-e">
    <w:name w:val="KWMCN-大标题"/>
    <w:next w:val="KWMCN-f"/>
    <w:qFormat/>
    <w:pPr>
      <w:adjustRightInd w:val="0"/>
      <w:snapToGrid w:val="0"/>
      <w:spacing w:after="360" w:line="320" w:lineRule="atLeast"/>
      <w:jc w:val="center"/>
      <w:outlineLvl w:val="0"/>
    </w:pPr>
    <w:rPr>
      <w:rFonts w:ascii="Arial" w:eastAsia="楷体_GB2312" w:hAnsi="Arial"/>
      <w:b/>
      <w:kern w:val="2"/>
      <w:sz w:val="28"/>
      <w:szCs w:val="21"/>
    </w:rPr>
  </w:style>
  <w:style w:type="paragraph" w:customStyle="1" w:styleId="KWMCN-f">
    <w:name w:val="KWMCN-金杜正文"/>
    <w:qFormat/>
    <w:pPr>
      <w:adjustRightInd w:val="0"/>
      <w:snapToGrid w:val="0"/>
      <w:spacing w:after="360" w:line="320" w:lineRule="atLeast"/>
      <w:ind w:firstLineChars="200" w:firstLine="200"/>
      <w:jc w:val="both"/>
    </w:pPr>
    <w:rPr>
      <w:rFonts w:ascii="Arial" w:eastAsia="楷体_GB2312" w:hAnsi="Arial"/>
      <w:kern w:val="2"/>
      <w:sz w:val="24"/>
      <w:szCs w:val="21"/>
    </w:rPr>
  </w:style>
  <w:style w:type="paragraph" w:customStyle="1" w:styleId="KWMCN-f0">
    <w:name w:val="KWMCN-小标题"/>
    <w:next w:val="KWMCN-f"/>
    <w:qFormat/>
    <w:pPr>
      <w:adjustRightInd w:val="0"/>
      <w:snapToGrid w:val="0"/>
      <w:spacing w:after="360" w:line="320" w:lineRule="atLeast"/>
      <w:jc w:val="both"/>
      <w:outlineLvl w:val="1"/>
    </w:pPr>
    <w:rPr>
      <w:rFonts w:ascii="Arial" w:eastAsia="楷体_GB2312" w:hAnsi="Arial"/>
      <w:b/>
      <w:kern w:val="2"/>
      <w:sz w:val="24"/>
      <w:szCs w:val="21"/>
    </w:rPr>
  </w:style>
  <w:style w:type="paragraph" w:customStyle="1" w:styleId="KWMCN-2">
    <w:name w:val="KWMCN-一级标题2"/>
    <w:next w:val="KWMCN-f"/>
    <w:qFormat/>
    <w:pPr>
      <w:numPr>
        <w:numId w:val="1"/>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23">
    <w:name w:val="KWMCN-五级标题2"/>
    <w:qFormat/>
    <w:pPr>
      <w:numPr>
        <w:ilvl w:val="4"/>
        <w:numId w:val="1"/>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0">
    <w:name w:val="KWMCN-二级符号"/>
    <w:qFormat/>
    <w:pPr>
      <w:numPr>
        <w:ilvl w:val="1"/>
        <w:numId w:val="2"/>
      </w:numPr>
      <w:adjustRightInd w:val="0"/>
      <w:snapToGrid w:val="0"/>
      <w:spacing w:after="360" w:line="320" w:lineRule="atLeast"/>
      <w:jc w:val="both"/>
    </w:pPr>
    <w:rPr>
      <w:rFonts w:ascii="Arial" w:eastAsia="楷体_GB2312" w:hAnsi="Arial"/>
      <w:kern w:val="2"/>
      <w:sz w:val="24"/>
      <w:szCs w:val="21"/>
    </w:rPr>
  </w:style>
  <w:style w:type="paragraph" w:customStyle="1" w:styleId="KWMCN-3">
    <w:name w:val="KWMCN-附件"/>
    <w:next w:val="KWMCN-d"/>
    <w:qFormat/>
    <w:pPr>
      <w:numPr>
        <w:numId w:val="3"/>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4">
    <w:name w:val="KWMCN-附录"/>
    <w:next w:val="KWMCN-d"/>
    <w:qFormat/>
    <w:pPr>
      <w:numPr>
        <w:numId w:val="4"/>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1">
    <w:name w:val="KWMCN-条目"/>
    <w:qFormat/>
    <w:pPr>
      <w:numPr>
        <w:numId w:val="5"/>
      </w:numPr>
      <w:adjustRightInd w:val="0"/>
      <w:snapToGrid w:val="0"/>
      <w:spacing w:after="360" w:line="320" w:lineRule="atLeast"/>
      <w:jc w:val="both"/>
    </w:pPr>
    <w:rPr>
      <w:rFonts w:ascii="Arial" w:eastAsia="楷体_GB2312" w:hAnsi="Arial"/>
      <w:kern w:val="2"/>
      <w:sz w:val="24"/>
      <w:szCs w:val="21"/>
    </w:rPr>
  </w:style>
  <w:style w:type="paragraph" w:customStyle="1" w:styleId="KWMCN-6">
    <w:name w:val="KWMCN-二级编号"/>
    <w:qFormat/>
    <w:pPr>
      <w:numPr>
        <w:ilvl w:val="1"/>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9">
    <w:name w:val="KWMCN-二级标题"/>
    <w:next w:val="KWMCN-f"/>
    <w:qFormat/>
    <w:pPr>
      <w:numPr>
        <w:ilvl w:val="1"/>
        <w:numId w:val="7"/>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TS">
    <w:name w:val="KWMCN-一级标题TS"/>
    <w:qFormat/>
    <w:pPr>
      <w:numPr>
        <w:numId w:val="8"/>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8">
    <w:name w:val="KWMCN-一级标题"/>
    <w:next w:val="KWMCN-f"/>
    <w:qFormat/>
    <w:pPr>
      <w:numPr>
        <w:numId w:val="7"/>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TS2">
    <w:name w:val="KWMCN-四级标题TS"/>
    <w:qFormat/>
    <w:pPr>
      <w:numPr>
        <w:ilvl w:val="3"/>
        <w:numId w:val="8"/>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TS3">
    <w:name w:val="KWMCN-五级标题TS"/>
    <w:qFormat/>
    <w:pPr>
      <w:numPr>
        <w:ilvl w:val="4"/>
        <w:numId w:val="8"/>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a">
    <w:name w:val="KWMCN-三级标题"/>
    <w:qFormat/>
    <w:pPr>
      <w:numPr>
        <w:ilvl w:val="2"/>
        <w:numId w:val="7"/>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b">
    <w:name w:val="KWMCN-四级标题"/>
    <w:qFormat/>
    <w:pPr>
      <w:numPr>
        <w:ilvl w:val="3"/>
        <w:numId w:val="7"/>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c">
    <w:name w:val="KWMCN-五级标题"/>
    <w:qFormat/>
    <w:pPr>
      <w:numPr>
        <w:ilvl w:val="4"/>
        <w:numId w:val="7"/>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KWMCN-20">
    <w:name w:val="KWMCN-二级标题2"/>
    <w:next w:val="KWMCN-f"/>
    <w:qFormat/>
    <w:pPr>
      <w:numPr>
        <w:ilvl w:val="1"/>
        <w:numId w:val="1"/>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21">
    <w:name w:val="KWMCN-三级标题2"/>
    <w:qFormat/>
    <w:pPr>
      <w:numPr>
        <w:ilvl w:val="2"/>
        <w:numId w:val="1"/>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2">
    <w:name w:val="KWMCN-四级标题2"/>
    <w:qFormat/>
    <w:pPr>
      <w:numPr>
        <w:ilvl w:val="3"/>
        <w:numId w:val="1"/>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5">
    <w:name w:val="KWMCN-一级编号"/>
    <w:qFormat/>
    <w:pPr>
      <w:numPr>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7">
    <w:name w:val="KWMCN-三级编号"/>
    <w:qFormat/>
    <w:pPr>
      <w:numPr>
        <w:ilvl w:val="2"/>
        <w:numId w:val="6"/>
      </w:numPr>
      <w:adjustRightInd w:val="0"/>
      <w:snapToGrid w:val="0"/>
      <w:spacing w:after="360" w:line="320" w:lineRule="atLeast"/>
      <w:jc w:val="both"/>
    </w:pPr>
    <w:rPr>
      <w:rFonts w:ascii="Arial" w:eastAsia="楷体_GB2312" w:hAnsi="Arial"/>
      <w:kern w:val="2"/>
      <w:sz w:val="24"/>
      <w:szCs w:val="21"/>
    </w:rPr>
  </w:style>
  <w:style w:type="paragraph" w:customStyle="1" w:styleId="KWMCN-">
    <w:name w:val="KWMCN-一级符号"/>
    <w:qFormat/>
    <w:pPr>
      <w:numPr>
        <w:numId w:val="2"/>
      </w:numPr>
      <w:adjustRightInd w:val="0"/>
      <w:snapToGrid w:val="0"/>
      <w:spacing w:after="360" w:line="320" w:lineRule="atLeast"/>
      <w:jc w:val="both"/>
    </w:pPr>
    <w:rPr>
      <w:rFonts w:ascii="Arial" w:eastAsia="楷体_GB2312" w:hAnsi="Arial"/>
      <w:kern w:val="2"/>
      <w:sz w:val="24"/>
      <w:szCs w:val="21"/>
    </w:rPr>
  </w:style>
  <w:style w:type="paragraph" w:customStyle="1" w:styleId="KWMCN-TS0">
    <w:name w:val="KWMCN-二级标题TS"/>
    <w:qFormat/>
    <w:pPr>
      <w:numPr>
        <w:ilvl w:val="1"/>
        <w:numId w:val="8"/>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TS1">
    <w:name w:val="KWMCN-三级标题TS"/>
    <w:qFormat/>
    <w:pPr>
      <w:numPr>
        <w:ilvl w:val="2"/>
        <w:numId w:val="8"/>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TS">
    <w:name w:val="KWMCN-一级标题2TS"/>
    <w:qFormat/>
    <w:pPr>
      <w:numPr>
        <w:numId w:val="9"/>
      </w:numPr>
      <w:adjustRightInd w:val="0"/>
      <w:snapToGrid w:val="0"/>
      <w:spacing w:after="360" w:line="320" w:lineRule="atLeast"/>
      <w:jc w:val="both"/>
      <w:outlineLvl w:val="0"/>
    </w:pPr>
    <w:rPr>
      <w:rFonts w:ascii="Arial" w:eastAsia="楷体_GB2312" w:hAnsi="Arial"/>
      <w:b/>
      <w:kern w:val="2"/>
      <w:sz w:val="28"/>
      <w:szCs w:val="21"/>
    </w:rPr>
  </w:style>
  <w:style w:type="paragraph" w:customStyle="1" w:styleId="KWMCN-2TS0">
    <w:name w:val="KWMCN-二级标题2TS"/>
    <w:qFormat/>
    <w:pPr>
      <w:numPr>
        <w:ilvl w:val="1"/>
        <w:numId w:val="9"/>
      </w:numPr>
      <w:adjustRightInd w:val="0"/>
      <w:snapToGrid w:val="0"/>
      <w:spacing w:after="360" w:line="320" w:lineRule="atLeast"/>
      <w:jc w:val="both"/>
      <w:outlineLvl w:val="1"/>
    </w:pPr>
    <w:rPr>
      <w:rFonts w:ascii="Arial" w:eastAsia="楷体_GB2312" w:hAnsi="Arial"/>
      <w:kern w:val="2"/>
      <w:sz w:val="24"/>
      <w:szCs w:val="21"/>
    </w:rPr>
  </w:style>
  <w:style w:type="paragraph" w:customStyle="1" w:styleId="KWMCN-2TS1">
    <w:name w:val="KWMCN-三级标题2TS"/>
    <w:qFormat/>
    <w:pPr>
      <w:numPr>
        <w:ilvl w:val="2"/>
        <w:numId w:val="9"/>
      </w:numPr>
      <w:adjustRightInd w:val="0"/>
      <w:snapToGrid w:val="0"/>
      <w:spacing w:after="360" w:line="320" w:lineRule="atLeast"/>
      <w:jc w:val="both"/>
      <w:outlineLvl w:val="2"/>
    </w:pPr>
    <w:rPr>
      <w:rFonts w:ascii="Arial" w:eastAsia="楷体_GB2312" w:hAnsi="Arial"/>
      <w:kern w:val="2"/>
      <w:sz w:val="24"/>
      <w:szCs w:val="21"/>
    </w:rPr>
  </w:style>
  <w:style w:type="paragraph" w:customStyle="1" w:styleId="KWMCN-2TS2">
    <w:name w:val="KWMCN-四级标题2TS"/>
    <w:qFormat/>
    <w:pPr>
      <w:numPr>
        <w:ilvl w:val="3"/>
        <w:numId w:val="9"/>
      </w:numPr>
      <w:adjustRightInd w:val="0"/>
      <w:snapToGrid w:val="0"/>
      <w:spacing w:after="360" w:line="320" w:lineRule="atLeast"/>
      <w:jc w:val="both"/>
      <w:outlineLvl w:val="3"/>
    </w:pPr>
    <w:rPr>
      <w:rFonts w:ascii="Arial" w:eastAsia="楷体_GB2312" w:hAnsi="Arial"/>
      <w:kern w:val="2"/>
      <w:sz w:val="24"/>
      <w:szCs w:val="21"/>
    </w:rPr>
  </w:style>
  <w:style w:type="paragraph" w:customStyle="1" w:styleId="KWMCN-2TS3">
    <w:name w:val="KWMCN-五级标题2TS"/>
    <w:qFormat/>
    <w:pPr>
      <w:numPr>
        <w:ilvl w:val="4"/>
        <w:numId w:val="9"/>
      </w:numPr>
      <w:adjustRightInd w:val="0"/>
      <w:snapToGrid w:val="0"/>
      <w:spacing w:after="360" w:line="320" w:lineRule="atLeast"/>
      <w:jc w:val="both"/>
      <w:outlineLvl w:val="4"/>
    </w:pPr>
    <w:rPr>
      <w:rFonts w:ascii="Arial" w:eastAsia="楷体_GB2312" w:hAnsi="Arial"/>
      <w:kern w:val="2"/>
      <w:sz w:val="24"/>
      <w:szCs w:val="21"/>
    </w:rPr>
  </w:style>
  <w:style w:type="paragraph" w:customStyle="1" w:styleId="12">
    <w:name w:val="正文文本1"/>
    <w:semiHidden/>
    <w:qFormat/>
    <w:pPr>
      <w:spacing w:after="280" w:line="240" w:lineRule="atLeast"/>
      <w:jc w:val="both"/>
    </w:pPr>
    <w:rPr>
      <w:rFonts w:ascii="Arial" w:eastAsia="楷体_GB2312" w:hAnsi="Arial"/>
      <w:kern w:val="2"/>
      <w:szCs w:val="21"/>
    </w:rPr>
  </w:style>
  <w:style w:type="paragraph" w:customStyle="1" w:styleId="KWMEN-Heading">
    <w:name w:val="KWMEN-Heading"/>
    <w:next w:val="KWMEN-Bodytext"/>
    <w:qFormat/>
    <w:p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Bodytext">
    <w:name w:val="KWMEN-Bodytext"/>
    <w:qFormat/>
    <w:pPr>
      <w:adjustRightInd w:val="0"/>
      <w:snapToGrid w:val="0"/>
      <w:spacing w:after="280" w:line="240" w:lineRule="atLeast"/>
      <w:jc w:val="both"/>
    </w:pPr>
    <w:rPr>
      <w:rFonts w:ascii="Arial" w:eastAsia="楷体_GB2312" w:hAnsi="Arial"/>
      <w:kern w:val="2"/>
      <w:szCs w:val="21"/>
    </w:rPr>
  </w:style>
  <w:style w:type="paragraph" w:customStyle="1" w:styleId="KWMEN-SubHeading">
    <w:name w:val="KWMEN-SubHeading"/>
    <w:next w:val="KWMEN-Bodytext"/>
    <w:qFormat/>
    <w:pPr>
      <w:adjustRightInd w:val="0"/>
      <w:snapToGrid w:val="0"/>
      <w:spacing w:after="240" w:line="240" w:lineRule="atLeast"/>
      <w:jc w:val="both"/>
      <w:outlineLvl w:val="1"/>
    </w:pPr>
    <w:rPr>
      <w:rFonts w:ascii="Arial" w:eastAsia="楷体_GB2312" w:hAnsi="Arial"/>
      <w:iCs/>
      <w:kern w:val="2"/>
      <w:szCs w:val="21"/>
    </w:rPr>
  </w:style>
  <w:style w:type="paragraph" w:customStyle="1" w:styleId="KWMEN-Heading-1">
    <w:name w:val="KWMEN-Heading-1"/>
    <w:next w:val="KWMEN-Bodytext"/>
    <w:qFormat/>
    <w:pPr>
      <w:numPr>
        <w:numId w:val="10"/>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Heading-2">
    <w:name w:val="KWMEN-Heading-2"/>
    <w:next w:val="KWMEN-Bodytext"/>
    <w:qFormat/>
    <w:pPr>
      <w:numPr>
        <w:ilvl w:val="1"/>
        <w:numId w:val="10"/>
      </w:numPr>
      <w:adjustRightInd w:val="0"/>
      <w:snapToGrid w:val="0"/>
      <w:spacing w:after="280" w:line="280" w:lineRule="atLeast"/>
      <w:jc w:val="both"/>
      <w:outlineLvl w:val="1"/>
    </w:pPr>
    <w:rPr>
      <w:rFonts w:ascii="Arial" w:eastAsia="楷体_GB2312" w:hAnsi="Arial"/>
      <w:kern w:val="2"/>
      <w:szCs w:val="21"/>
    </w:rPr>
  </w:style>
  <w:style w:type="paragraph" w:customStyle="1" w:styleId="KWMEN-Heading-3">
    <w:name w:val="KWMEN-Heading-3"/>
    <w:next w:val="KWMEN-Bodytext"/>
    <w:qFormat/>
    <w:pPr>
      <w:numPr>
        <w:ilvl w:val="2"/>
        <w:numId w:val="10"/>
      </w:numPr>
      <w:adjustRightInd w:val="0"/>
      <w:snapToGrid w:val="0"/>
      <w:spacing w:after="280" w:line="280" w:lineRule="atLeast"/>
      <w:jc w:val="both"/>
      <w:outlineLvl w:val="2"/>
    </w:pPr>
    <w:rPr>
      <w:rFonts w:ascii="Arial" w:eastAsia="楷体_GB2312" w:hAnsi="Arial"/>
      <w:kern w:val="2"/>
      <w:szCs w:val="21"/>
    </w:rPr>
  </w:style>
  <w:style w:type="paragraph" w:customStyle="1" w:styleId="KWMEN-Heading-4">
    <w:name w:val="KWMEN-Heading-4"/>
    <w:qFormat/>
    <w:pPr>
      <w:numPr>
        <w:ilvl w:val="3"/>
        <w:numId w:val="10"/>
      </w:numPr>
      <w:adjustRightInd w:val="0"/>
      <w:snapToGrid w:val="0"/>
      <w:spacing w:after="280" w:line="280" w:lineRule="atLeast"/>
      <w:jc w:val="both"/>
      <w:outlineLvl w:val="3"/>
    </w:pPr>
    <w:rPr>
      <w:rFonts w:ascii="Arial" w:eastAsia="楷体_GB2312" w:hAnsi="Arial"/>
      <w:kern w:val="2"/>
      <w:szCs w:val="21"/>
    </w:rPr>
  </w:style>
  <w:style w:type="paragraph" w:customStyle="1" w:styleId="KWMEN-Heading-5">
    <w:name w:val="KWMEN-Heading-5"/>
    <w:qFormat/>
    <w:pPr>
      <w:numPr>
        <w:ilvl w:val="4"/>
        <w:numId w:val="10"/>
      </w:numPr>
      <w:adjustRightInd w:val="0"/>
      <w:snapToGrid w:val="0"/>
      <w:spacing w:after="280" w:line="280" w:lineRule="atLeast"/>
      <w:jc w:val="both"/>
      <w:outlineLvl w:val="4"/>
    </w:pPr>
    <w:rPr>
      <w:rFonts w:ascii="Arial" w:eastAsia="楷体_GB2312" w:hAnsi="Arial"/>
      <w:kern w:val="2"/>
      <w:szCs w:val="21"/>
    </w:rPr>
  </w:style>
  <w:style w:type="paragraph" w:customStyle="1" w:styleId="KWMEN-Number-1">
    <w:name w:val="KWMEN-Number-1"/>
    <w:qFormat/>
    <w:pPr>
      <w:numPr>
        <w:numId w:val="11"/>
      </w:numPr>
      <w:adjustRightInd w:val="0"/>
      <w:snapToGrid w:val="0"/>
      <w:spacing w:after="240" w:line="240" w:lineRule="atLeast"/>
      <w:jc w:val="both"/>
    </w:pPr>
    <w:rPr>
      <w:rFonts w:ascii="Arial" w:eastAsia="楷体_GB2312" w:hAnsi="Arial"/>
      <w:kern w:val="2"/>
      <w:szCs w:val="21"/>
    </w:rPr>
  </w:style>
  <w:style w:type="paragraph" w:customStyle="1" w:styleId="KWMEN-Number-2">
    <w:name w:val="KWMEN-Number-2"/>
    <w:qFormat/>
    <w:pPr>
      <w:numPr>
        <w:ilvl w:val="1"/>
        <w:numId w:val="11"/>
      </w:numPr>
      <w:adjustRightInd w:val="0"/>
      <w:snapToGrid w:val="0"/>
      <w:spacing w:after="240" w:line="240" w:lineRule="atLeast"/>
      <w:jc w:val="both"/>
    </w:pPr>
    <w:rPr>
      <w:rFonts w:ascii="Arial" w:eastAsia="楷体_GB2312" w:hAnsi="Arial"/>
      <w:kern w:val="2"/>
      <w:szCs w:val="21"/>
    </w:rPr>
  </w:style>
  <w:style w:type="paragraph" w:customStyle="1" w:styleId="KWMEN-Number-3">
    <w:name w:val="KWMEN-Number-3"/>
    <w:qFormat/>
    <w:pPr>
      <w:numPr>
        <w:ilvl w:val="2"/>
        <w:numId w:val="11"/>
      </w:numPr>
      <w:adjustRightInd w:val="0"/>
      <w:snapToGrid w:val="0"/>
      <w:spacing w:after="240" w:line="240" w:lineRule="atLeast"/>
      <w:jc w:val="both"/>
    </w:pPr>
    <w:rPr>
      <w:rFonts w:ascii="Arial" w:eastAsia="楷体_GB2312" w:hAnsi="Arial"/>
      <w:kern w:val="2"/>
      <w:szCs w:val="21"/>
    </w:rPr>
  </w:style>
  <w:style w:type="paragraph" w:customStyle="1" w:styleId="KWMEN-Bullet-1">
    <w:name w:val="KWMEN-Bullet-1"/>
    <w:qFormat/>
    <w:pPr>
      <w:numPr>
        <w:numId w:val="12"/>
      </w:numPr>
      <w:adjustRightInd w:val="0"/>
      <w:snapToGrid w:val="0"/>
      <w:spacing w:after="240" w:line="240" w:lineRule="atLeast"/>
      <w:jc w:val="both"/>
    </w:pPr>
    <w:rPr>
      <w:rFonts w:ascii="Arial" w:eastAsia="楷体_GB2312" w:hAnsi="Arial"/>
      <w:kern w:val="2"/>
      <w:szCs w:val="21"/>
    </w:rPr>
  </w:style>
  <w:style w:type="paragraph" w:customStyle="1" w:styleId="KWMEN-Bullet-2">
    <w:name w:val="KWMEN-Bullet-2"/>
    <w:qFormat/>
    <w:pPr>
      <w:numPr>
        <w:ilvl w:val="1"/>
        <w:numId w:val="12"/>
      </w:numPr>
      <w:adjustRightInd w:val="0"/>
      <w:snapToGrid w:val="0"/>
      <w:spacing w:after="240" w:line="240" w:lineRule="atLeast"/>
      <w:jc w:val="both"/>
    </w:pPr>
    <w:rPr>
      <w:rFonts w:ascii="Arial" w:eastAsia="楷体_GB2312" w:hAnsi="Arial"/>
      <w:kern w:val="2"/>
      <w:szCs w:val="21"/>
    </w:rPr>
  </w:style>
  <w:style w:type="paragraph" w:customStyle="1" w:styleId="KWMEN-Attachment">
    <w:name w:val="KWMEN-Attachment"/>
    <w:next w:val="KWMEN-Bodytext"/>
    <w:qFormat/>
    <w:pPr>
      <w:numPr>
        <w:numId w:val="13"/>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Schedule">
    <w:name w:val="KWMEN-Schedule"/>
    <w:next w:val="KWMEN-Bodytext"/>
    <w:qFormat/>
    <w:pPr>
      <w:numPr>
        <w:numId w:val="14"/>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Article">
    <w:name w:val="KWMEN-Article"/>
    <w:qFormat/>
    <w:pPr>
      <w:numPr>
        <w:numId w:val="15"/>
      </w:numPr>
      <w:adjustRightInd w:val="0"/>
      <w:snapToGrid w:val="0"/>
      <w:spacing w:after="280" w:line="240" w:lineRule="atLeast"/>
      <w:jc w:val="both"/>
    </w:pPr>
    <w:rPr>
      <w:rFonts w:ascii="Arial" w:eastAsia="楷体_GB2312" w:hAnsi="Arial"/>
      <w:kern w:val="2"/>
      <w:szCs w:val="21"/>
    </w:rPr>
  </w:style>
  <w:style w:type="paragraph" w:customStyle="1" w:styleId="KWMEN-Heading-1TS">
    <w:name w:val="KWMEN-Heading-1TS"/>
    <w:qFormat/>
    <w:pPr>
      <w:numPr>
        <w:numId w:val="16"/>
      </w:numPr>
      <w:adjustRightInd w:val="0"/>
      <w:snapToGrid w:val="0"/>
      <w:spacing w:after="280" w:line="280" w:lineRule="atLeast"/>
      <w:jc w:val="both"/>
      <w:outlineLvl w:val="0"/>
    </w:pPr>
    <w:rPr>
      <w:rFonts w:ascii="Arial" w:eastAsia="楷体_GB2312" w:hAnsi="Arial"/>
      <w:b/>
      <w:kern w:val="2"/>
      <w:sz w:val="24"/>
      <w:szCs w:val="21"/>
    </w:rPr>
  </w:style>
  <w:style w:type="paragraph" w:customStyle="1" w:styleId="KWMEN-Heading-2TS">
    <w:name w:val="KWMEN-Heading-2TS"/>
    <w:qFormat/>
    <w:pPr>
      <w:numPr>
        <w:ilvl w:val="1"/>
        <w:numId w:val="16"/>
      </w:numPr>
      <w:adjustRightInd w:val="0"/>
      <w:snapToGrid w:val="0"/>
      <w:spacing w:after="280" w:line="280" w:lineRule="atLeast"/>
      <w:jc w:val="both"/>
      <w:outlineLvl w:val="1"/>
    </w:pPr>
    <w:rPr>
      <w:rFonts w:ascii="Arial" w:eastAsia="楷体_GB2312" w:hAnsi="Arial"/>
      <w:kern w:val="2"/>
      <w:szCs w:val="21"/>
    </w:rPr>
  </w:style>
  <w:style w:type="paragraph" w:customStyle="1" w:styleId="KWMEN-Heading-3TS">
    <w:name w:val="KWMEN-Heading-3TS"/>
    <w:qFormat/>
    <w:pPr>
      <w:numPr>
        <w:ilvl w:val="2"/>
        <w:numId w:val="16"/>
      </w:numPr>
      <w:adjustRightInd w:val="0"/>
      <w:snapToGrid w:val="0"/>
      <w:spacing w:after="280" w:line="280" w:lineRule="atLeast"/>
      <w:jc w:val="both"/>
      <w:outlineLvl w:val="2"/>
    </w:pPr>
    <w:rPr>
      <w:rFonts w:ascii="Arial" w:eastAsia="楷体_GB2312" w:hAnsi="Arial"/>
      <w:kern w:val="2"/>
      <w:szCs w:val="21"/>
    </w:rPr>
  </w:style>
  <w:style w:type="paragraph" w:customStyle="1" w:styleId="KWMEN-Heading-4TS">
    <w:name w:val="KWMEN-Heading-4TS"/>
    <w:qFormat/>
    <w:pPr>
      <w:numPr>
        <w:ilvl w:val="3"/>
        <w:numId w:val="16"/>
      </w:numPr>
      <w:adjustRightInd w:val="0"/>
      <w:snapToGrid w:val="0"/>
      <w:spacing w:after="280" w:line="280" w:lineRule="atLeast"/>
      <w:jc w:val="both"/>
      <w:outlineLvl w:val="3"/>
    </w:pPr>
    <w:rPr>
      <w:rFonts w:ascii="Arial" w:eastAsia="楷体_GB2312" w:hAnsi="Arial"/>
      <w:kern w:val="2"/>
      <w:szCs w:val="21"/>
    </w:rPr>
  </w:style>
  <w:style w:type="paragraph" w:customStyle="1" w:styleId="KWMEN-Heading-5TS">
    <w:name w:val="KWMEN-Heading-5TS"/>
    <w:qFormat/>
    <w:pPr>
      <w:numPr>
        <w:ilvl w:val="4"/>
        <w:numId w:val="16"/>
      </w:numPr>
      <w:adjustRightInd w:val="0"/>
      <w:snapToGrid w:val="0"/>
      <w:spacing w:after="280" w:line="280" w:lineRule="atLeast"/>
      <w:jc w:val="both"/>
      <w:outlineLvl w:val="4"/>
    </w:pPr>
    <w:rPr>
      <w:rFonts w:ascii="Arial" w:eastAsia="楷体_GB2312" w:hAnsi="Arial"/>
      <w:kern w:val="2"/>
      <w:szCs w:val="21"/>
    </w:rPr>
  </w:style>
  <w:style w:type="paragraph" w:customStyle="1" w:styleId="KWMJP-JP9">
    <w:name w:val="KWMJP-大标题JP"/>
    <w:next w:val="KWMJP-JPa"/>
    <w:qFormat/>
    <w:pPr>
      <w:adjustRightInd w:val="0"/>
      <w:snapToGrid w:val="0"/>
      <w:jc w:val="center"/>
      <w:outlineLvl w:val="0"/>
    </w:pPr>
    <w:rPr>
      <w:rFonts w:ascii="MS Gothic" w:eastAsia="MS Gothic" w:hAnsi="MS Gothic"/>
      <w:b/>
      <w:kern w:val="2"/>
      <w:sz w:val="24"/>
      <w:szCs w:val="21"/>
    </w:rPr>
  </w:style>
  <w:style w:type="paragraph" w:customStyle="1" w:styleId="KWMJP-JPa">
    <w:name w:val="KWMJP-金杜正文JP"/>
    <w:qFormat/>
    <w:pPr>
      <w:adjustRightInd w:val="0"/>
      <w:snapToGrid w:val="0"/>
      <w:ind w:firstLineChars="100" w:firstLine="100"/>
      <w:jc w:val="both"/>
    </w:pPr>
    <w:rPr>
      <w:rFonts w:ascii="MS Gothic" w:eastAsia="MS Gothic" w:hAnsi="MS Gothic"/>
      <w:kern w:val="2"/>
      <w:sz w:val="21"/>
      <w:szCs w:val="21"/>
    </w:rPr>
  </w:style>
  <w:style w:type="paragraph" w:customStyle="1" w:styleId="KWMJP-JPb">
    <w:name w:val="KWMJP-小标题JP"/>
    <w:next w:val="KWMJP-JPa"/>
    <w:qFormat/>
    <w:pPr>
      <w:adjustRightInd w:val="0"/>
      <w:snapToGrid w:val="0"/>
      <w:jc w:val="both"/>
      <w:outlineLvl w:val="1"/>
    </w:pPr>
    <w:rPr>
      <w:rFonts w:ascii="MS Gothic" w:eastAsia="MS Gothic" w:hAnsi="MS Gothic" w:cs="宋体"/>
      <w:b/>
      <w:kern w:val="2"/>
      <w:sz w:val="21"/>
      <w:szCs w:val="21"/>
    </w:rPr>
  </w:style>
  <w:style w:type="paragraph" w:customStyle="1" w:styleId="KWMJP-JPc">
    <w:name w:val="KWMJP-标准JP"/>
    <w:qFormat/>
    <w:pPr>
      <w:adjustRightInd w:val="0"/>
      <w:snapToGrid w:val="0"/>
      <w:jc w:val="both"/>
      <w:outlineLvl w:val="1"/>
    </w:pPr>
    <w:rPr>
      <w:rFonts w:ascii="MS Gothic" w:eastAsia="MS Gothic" w:hAnsi="MS Gothic"/>
      <w:kern w:val="2"/>
      <w:sz w:val="21"/>
      <w:szCs w:val="21"/>
    </w:rPr>
  </w:style>
  <w:style w:type="paragraph" w:customStyle="1" w:styleId="KWMJP-JP1">
    <w:name w:val="KWMJP-一级标题JP"/>
    <w:next w:val="KWMJP-JPa"/>
    <w:qFormat/>
    <w:pPr>
      <w:numPr>
        <w:numId w:val="17"/>
      </w:numPr>
      <w:adjustRightInd w:val="0"/>
      <w:snapToGrid w:val="0"/>
      <w:jc w:val="both"/>
      <w:outlineLvl w:val="0"/>
    </w:pPr>
    <w:rPr>
      <w:rFonts w:ascii="MS Gothic" w:eastAsia="MS Gothic" w:hAnsi="MS Gothic"/>
      <w:kern w:val="2"/>
      <w:sz w:val="24"/>
      <w:szCs w:val="21"/>
    </w:rPr>
  </w:style>
  <w:style w:type="paragraph" w:customStyle="1" w:styleId="KWMJP-JP2">
    <w:name w:val="KWMJP-二级标题JP"/>
    <w:next w:val="KWMJP-JPa"/>
    <w:qFormat/>
    <w:pPr>
      <w:numPr>
        <w:ilvl w:val="1"/>
        <w:numId w:val="17"/>
      </w:numPr>
      <w:adjustRightInd w:val="0"/>
      <w:snapToGrid w:val="0"/>
      <w:jc w:val="both"/>
    </w:pPr>
    <w:rPr>
      <w:rFonts w:ascii="MS Gothic" w:eastAsia="MS Gothic" w:hAnsi="MS Gothic"/>
      <w:kern w:val="2"/>
      <w:sz w:val="21"/>
      <w:szCs w:val="21"/>
    </w:rPr>
  </w:style>
  <w:style w:type="paragraph" w:customStyle="1" w:styleId="KWMJP-JP3">
    <w:name w:val="KWMJP-三级标题JP"/>
    <w:qFormat/>
    <w:pPr>
      <w:numPr>
        <w:ilvl w:val="2"/>
        <w:numId w:val="17"/>
      </w:numPr>
      <w:adjustRightInd w:val="0"/>
      <w:snapToGrid w:val="0"/>
      <w:jc w:val="both"/>
      <w:outlineLvl w:val="2"/>
    </w:pPr>
    <w:rPr>
      <w:rFonts w:ascii="MS Gothic" w:eastAsia="MS Gothic" w:hAnsi="MS Gothic"/>
      <w:kern w:val="2"/>
      <w:sz w:val="21"/>
      <w:szCs w:val="21"/>
    </w:rPr>
  </w:style>
  <w:style w:type="paragraph" w:customStyle="1" w:styleId="KWMJP-JP5">
    <w:name w:val="KWMJP-五级标题JP"/>
    <w:qFormat/>
    <w:pPr>
      <w:numPr>
        <w:ilvl w:val="4"/>
        <w:numId w:val="17"/>
      </w:numPr>
      <w:adjustRightInd w:val="0"/>
      <w:snapToGrid w:val="0"/>
      <w:jc w:val="both"/>
      <w:outlineLvl w:val="4"/>
    </w:pPr>
    <w:rPr>
      <w:rFonts w:ascii="MS Gothic" w:eastAsia="MS Gothic" w:hAnsi="MS Gothic"/>
      <w:kern w:val="2"/>
      <w:sz w:val="21"/>
      <w:szCs w:val="21"/>
    </w:rPr>
  </w:style>
  <w:style w:type="paragraph" w:customStyle="1" w:styleId="KWMJP-JP6">
    <w:name w:val="KWMJP-一级编号JP"/>
    <w:qFormat/>
    <w:pPr>
      <w:numPr>
        <w:numId w:val="18"/>
      </w:numPr>
      <w:adjustRightInd w:val="0"/>
      <w:snapToGrid w:val="0"/>
      <w:jc w:val="both"/>
    </w:pPr>
    <w:rPr>
      <w:rFonts w:ascii="MS Gothic" w:eastAsia="MS Gothic" w:hAnsi="MS Gothic"/>
      <w:kern w:val="2"/>
      <w:sz w:val="21"/>
      <w:szCs w:val="21"/>
    </w:rPr>
  </w:style>
  <w:style w:type="paragraph" w:customStyle="1" w:styleId="KWMJP-JP7">
    <w:name w:val="KWMJP-二级编号JP"/>
    <w:qFormat/>
    <w:pPr>
      <w:numPr>
        <w:ilvl w:val="1"/>
        <w:numId w:val="18"/>
      </w:numPr>
      <w:adjustRightInd w:val="0"/>
      <w:snapToGrid w:val="0"/>
      <w:jc w:val="both"/>
    </w:pPr>
    <w:rPr>
      <w:rFonts w:ascii="MS Gothic" w:eastAsia="MS Gothic" w:hAnsi="MS Gothic"/>
      <w:kern w:val="2"/>
      <w:sz w:val="21"/>
      <w:szCs w:val="21"/>
    </w:rPr>
  </w:style>
  <w:style w:type="paragraph" w:customStyle="1" w:styleId="KWMJP-JP8">
    <w:name w:val="KWMJP-三级编号JP"/>
    <w:qFormat/>
    <w:pPr>
      <w:numPr>
        <w:ilvl w:val="2"/>
        <w:numId w:val="18"/>
      </w:numPr>
      <w:adjustRightInd w:val="0"/>
      <w:snapToGrid w:val="0"/>
      <w:jc w:val="both"/>
    </w:pPr>
    <w:rPr>
      <w:rFonts w:ascii="MS Gothic" w:eastAsia="MS Gothic" w:hAnsi="MS Gothic"/>
      <w:kern w:val="2"/>
      <w:sz w:val="21"/>
      <w:szCs w:val="21"/>
    </w:rPr>
  </w:style>
  <w:style w:type="paragraph" w:customStyle="1" w:styleId="KWMJP-JP">
    <w:name w:val="KWMJP-一级符号JP"/>
    <w:qFormat/>
    <w:pPr>
      <w:numPr>
        <w:numId w:val="19"/>
      </w:numPr>
      <w:adjustRightInd w:val="0"/>
      <w:snapToGrid w:val="0"/>
      <w:jc w:val="both"/>
    </w:pPr>
    <w:rPr>
      <w:rFonts w:ascii="MS Gothic" w:eastAsia="MS Gothic" w:hAnsi="MS Gothic"/>
      <w:kern w:val="2"/>
      <w:sz w:val="21"/>
      <w:szCs w:val="21"/>
    </w:rPr>
  </w:style>
  <w:style w:type="paragraph" w:customStyle="1" w:styleId="KWMJP-JP0">
    <w:name w:val="KWMJP-二级符号JP"/>
    <w:qFormat/>
    <w:pPr>
      <w:numPr>
        <w:ilvl w:val="1"/>
        <w:numId w:val="19"/>
      </w:numPr>
      <w:adjustRightInd w:val="0"/>
      <w:snapToGrid w:val="0"/>
      <w:jc w:val="both"/>
    </w:pPr>
    <w:rPr>
      <w:rFonts w:ascii="MS Gothic" w:eastAsia="MS Gothic" w:hAnsi="MS Gothic"/>
      <w:kern w:val="2"/>
      <w:sz w:val="21"/>
      <w:szCs w:val="21"/>
    </w:rPr>
  </w:style>
  <w:style w:type="paragraph" w:customStyle="1" w:styleId="22">
    <w:name w:val="正文文本2"/>
    <w:semiHidden/>
    <w:qFormat/>
    <w:pPr>
      <w:spacing w:after="280" w:line="240" w:lineRule="atLeast"/>
      <w:jc w:val="both"/>
    </w:pPr>
    <w:rPr>
      <w:rFonts w:ascii="Arial" w:eastAsia="楷体_GB2312" w:hAnsi="Arial"/>
      <w:kern w:val="2"/>
      <w:szCs w:val="21"/>
    </w:rPr>
  </w:style>
  <w:style w:type="paragraph" w:customStyle="1" w:styleId="KWMJP-JP4">
    <w:name w:val="KWMJP-四级标题JP"/>
    <w:qFormat/>
    <w:pPr>
      <w:numPr>
        <w:ilvl w:val="3"/>
        <w:numId w:val="17"/>
      </w:numPr>
      <w:adjustRightInd w:val="0"/>
      <w:snapToGrid w:val="0"/>
      <w:jc w:val="both"/>
      <w:outlineLvl w:val="3"/>
    </w:pPr>
    <w:rPr>
      <w:rFonts w:ascii="MS Gothic" w:eastAsia="MS Gothic" w:hAnsi="MS Gothic"/>
      <w:kern w:val="2"/>
      <w:sz w:val="21"/>
      <w:szCs w:val="21"/>
    </w:rPr>
  </w:style>
  <w:style w:type="character" w:customStyle="1" w:styleId="a4">
    <w:name w:val="正文文本 字符"/>
    <w:basedOn w:val="a1"/>
    <w:link w:val="a0"/>
    <w:uiPriority w:val="99"/>
    <w:semiHidden/>
  </w:style>
  <w:style w:type="character" w:customStyle="1" w:styleId="ad">
    <w:name w:val="标题 字符"/>
    <w:basedOn w:val="a1"/>
    <w:link w:val="ac"/>
    <w:uiPriority w:val="10"/>
    <w:rPr>
      <w:rFonts w:asciiTheme="majorHAnsi" w:eastAsia="宋体" w:hAnsiTheme="majorHAnsi" w:cstheme="majorBidi"/>
      <w:b/>
      <w:bCs/>
      <w:sz w:val="32"/>
      <w:szCs w:val="32"/>
    </w:rPr>
  </w:style>
  <w:style w:type="character" w:customStyle="1" w:styleId="ab">
    <w:name w:val="副标题 字符"/>
    <w:basedOn w:val="a1"/>
    <w:link w:val="aa"/>
    <w:uiPriority w:val="11"/>
    <w:rPr>
      <w:rFonts w:asciiTheme="majorHAnsi" w:eastAsia="宋体" w:hAnsiTheme="majorHAnsi" w:cstheme="majorBidi"/>
      <w:b/>
      <w:bCs/>
      <w:kern w:val="28"/>
      <w:sz w:val="32"/>
      <w:szCs w:val="32"/>
    </w:rPr>
  </w:style>
  <w:style w:type="paragraph" w:styleId="af4">
    <w:name w:val="No Spacing"/>
    <w:uiPriority w:val="1"/>
    <w:qFormat/>
    <w:pPr>
      <w:widowControl w:val="0"/>
      <w:jc w:val="both"/>
    </w:pPr>
    <w:rPr>
      <w:rFonts w:ascii="Arial" w:eastAsia="楷体_GB2312" w:hAnsi="Arial"/>
      <w:kern w:val="2"/>
      <w:sz w:val="24"/>
      <w:szCs w:val="21"/>
    </w:rPr>
  </w:style>
  <w:style w:type="paragraph" w:styleId="af5">
    <w:name w:val="List Paragraph"/>
    <w:basedOn w:val="a"/>
    <w:uiPriority w:val="34"/>
    <w:qFormat/>
    <w:pPr>
      <w:spacing w:after="360" w:line="320" w:lineRule="atLeast"/>
      <w:ind w:firstLineChars="200" w:firstLine="420"/>
    </w:pPr>
    <w:rPr>
      <w:rFonts w:ascii="Arial" w:eastAsia="楷体_GB2312" w:hAnsi="Arial"/>
      <w:sz w:val="24"/>
    </w:rPr>
  </w:style>
  <w:style w:type="paragraph" w:styleId="af6">
    <w:name w:val="Quote"/>
    <w:basedOn w:val="a"/>
    <w:next w:val="a"/>
    <w:link w:val="af7"/>
    <w:uiPriority w:val="29"/>
    <w:qFormat/>
    <w:pPr>
      <w:spacing w:after="360" w:line="320" w:lineRule="atLeast"/>
    </w:pPr>
    <w:rPr>
      <w:rFonts w:ascii="Arial" w:eastAsia="楷体_GB2312" w:hAnsi="Arial"/>
      <w:i/>
      <w:iCs/>
      <w:color w:val="000000" w:themeColor="text1"/>
      <w:sz w:val="24"/>
    </w:rPr>
  </w:style>
  <w:style w:type="character" w:customStyle="1" w:styleId="af7">
    <w:name w:val="引用 字符"/>
    <w:link w:val="af6"/>
    <w:uiPriority w:val="29"/>
    <w:rPr>
      <w:rFonts w:ascii="Arial" w:eastAsia="楷体_GB2312" w:hAnsi="Arial"/>
      <w:i/>
      <w:iCs/>
      <w:color w:val="000000" w:themeColor="text1"/>
      <w:sz w:val="24"/>
    </w:rPr>
  </w:style>
  <w:style w:type="paragraph" w:styleId="af8">
    <w:name w:val="Intense Quote"/>
    <w:basedOn w:val="a"/>
    <w:next w:val="a"/>
    <w:link w:val="af9"/>
    <w:uiPriority w:val="30"/>
    <w:qFormat/>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9">
    <w:name w:val="明显引用 字符"/>
    <w:link w:val="af8"/>
    <w:uiPriority w:val="30"/>
    <w:rPr>
      <w:rFonts w:ascii="Arial" w:eastAsia="楷体_GB2312" w:hAnsi="Arial"/>
      <w:b/>
      <w:bCs/>
      <w:i/>
      <w:iCs/>
      <w:color w:val="4F81BD" w:themeColor="accent1"/>
      <w:sz w:val="24"/>
    </w:rPr>
  </w:style>
  <w:style w:type="paragraph" w:customStyle="1" w:styleId="TOC1">
    <w:name w:val="TOC 标题1"/>
    <w:basedOn w:val="1"/>
    <w:next w:val="a"/>
    <w:uiPriority w:val="39"/>
    <w:semiHidden/>
    <w:qFormat/>
    <w:pPr>
      <w:outlineLvl w:val="9"/>
    </w:pPr>
  </w:style>
  <w:style w:type="character" w:customStyle="1" w:styleId="a9">
    <w:name w:val="批注框文本 字符"/>
    <w:basedOn w:val="a1"/>
    <w:link w:val="a8"/>
    <w:semiHidden/>
    <w:rPr>
      <w:rFonts w:ascii="等线" w:eastAsia="等线" w:hAnsi="等线"/>
      <w:sz w:val="18"/>
      <w:szCs w:val="18"/>
    </w:rPr>
  </w:style>
  <w:style w:type="character" w:customStyle="1" w:styleId="a7">
    <w:name w:val="批注文字 字符"/>
    <w:basedOn w:val="a1"/>
    <w:link w:val="a6"/>
    <w:semiHidden/>
    <w:rPr>
      <w:rFonts w:ascii="等线" w:eastAsia="等线" w:hAnsi="等线"/>
      <w:szCs w:val="22"/>
    </w:rPr>
  </w:style>
  <w:style w:type="character" w:customStyle="1" w:styleId="af">
    <w:name w:val="批注主题 字符"/>
    <w:basedOn w:val="a7"/>
    <w:link w:val="ae"/>
    <w:semiHidden/>
    <w:rPr>
      <w:rFonts w:ascii="等线" w:eastAsia="等线" w:hAnsi="等线"/>
      <w:b/>
      <w:bCs/>
      <w:szCs w:val="22"/>
    </w:rPr>
  </w:style>
  <w:style w:type="paragraph" w:styleId="afa">
    <w:name w:val="Revision"/>
    <w:hidden/>
    <w:uiPriority w:val="99"/>
    <w:semiHidden/>
    <w:rsid w:val="00193615"/>
    <w:rPr>
      <w:rFonts w:ascii="等线" w:eastAsia="等线" w:hAnsi="等线"/>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948A196-D8E9-43A1-8F2F-A759B8AED2DF}">
  <ds:schemaRefs>
    <ds:schemaRef ds:uri="http://www.imanage.com/work/xmlschema"/>
  </ds:schemaRefs>
</ds:datastoreItem>
</file>

<file path=customXml/itemProps6.xml><?xml version="1.0" encoding="utf-8"?>
<ds:datastoreItem xmlns:ds="http://schemas.openxmlformats.org/officeDocument/2006/customXml" ds:itemID="{4D9AB1DF-6EAD-419F-9A3F-AFCE1E922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1221</Words>
  <Characters>199</Characters>
  <Application>Microsoft Office Word</Application>
  <DocSecurity>0</DocSecurity>
  <Lines>16</Lines>
  <Paragraphs>67</Paragraphs>
  <ScaleCrop>false</ScaleCrop>
  <Company>KWM</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Blank Template</dc:subject>
  <dc:creator>Jiang, Hanxue</dc:creator>
  <cp:keywords>blank</cp:keywords>
  <cp:lastModifiedBy>ZQF</cp:lastModifiedBy>
  <cp:revision>15</cp:revision>
  <cp:lastPrinted>1996-04-16T03:47:00Z</cp:lastPrinted>
  <dcterms:created xsi:type="dcterms:W3CDTF">2024-12-27T04:30:00Z</dcterms:created>
  <dcterms:modified xsi:type="dcterms:W3CDTF">2025-01-22T08:10:00Z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