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1CE88">
      <w:pPr>
        <w:keepNext w:val="0"/>
        <w:keepLines w:val="0"/>
        <w:pageBreakBefore w:val="0"/>
        <w:widowControl w:val="0"/>
        <w:kinsoku/>
        <w:wordWrap/>
        <w:overflowPunct/>
        <w:topLinePunct w:val="0"/>
        <w:autoSpaceDE/>
        <w:autoSpaceDN/>
        <w:bidi w:val="0"/>
        <w:adjustRightInd/>
        <w:snapToGrid/>
        <w:spacing w:after="120"/>
        <w:jc w:val="center"/>
        <w:textAlignment w:val="auto"/>
        <w:rPr>
          <w:rFonts w:eastAsia="黑体" w:cs="黑体"/>
          <w:bCs/>
          <w:sz w:val="36"/>
          <w:szCs w:val="36"/>
        </w:rPr>
      </w:pPr>
      <w:bookmarkStart w:id="0" w:name="_GoBack"/>
      <w:r>
        <w:rPr>
          <w:rFonts w:hint="eastAsia" w:eastAsia="黑体" w:cs="黑体"/>
          <w:bCs/>
          <w:sz w:val="36"/>
          <w:szCs w:val="36"/>
        </w:rPr>
        <w:t>经营者集中简易案件公示表</w:t>
      </w:r>
    </w:p>
    <w:bookmarkEnd w:id="0"/>
    <w:tbl>
      <w:tblPr>
        <w:tblStyle w:val="5"/>
        <w:tblW w:w="8952"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1438"/>
        <w:gridCol w:w="5633"/>
      </w:tblGrid>
      <w:tr w14:paraId="565D0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1881" w:type="dxa"/>
            <w:shd w:val="clear" w:color="auto" w:fill="auto"/>
            <w:vAlign w:val="center"/>
          </w:tcPr>
          <w:p w14:paraId="742EF219">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rPr>
            </w:pPr>
            <w:r>
              <w:rPr>
                <w:rFonts w:hint="default" w:cs="Times New Roman"/>
                <w:bCs/>
                <w:color w:val="000000"/>
                <w:sz w:val="24"/>
                <w:szCs w:val="24"/>
              </w:rPr>
              <w:t>案件名称</w:t>
            </w:r>
          </w:p>
        </w:tc>
        <w:tc>
          <w:tcPr>
            <w:tcW w:w="7071" w:type="dxa"/>
            <w:gridSpan w:val="2"/>
            <w:vAlign w:val="center"/>
          </w:tcPr>
          <w:p w14:paraId="1B8F9250">
            <w:pPr>
              <w:keepNext w:val="0"/>
              <w:keepLines w:val="0"/>
              <w:suppressLineNumbers w:val="0"/>
              <w:adjustRightInd w:val="0"/>
              <w:snapToGrid w:val="0"/>
              <w:spacing w:before="0" w:beforeAutospacing="0" w:after="0" w:afterAutospacing="0"/>
              <w:ind w:left="0" w:right="0"/>
              <w:jc w:val="left"/>
              <w:rPr>
                <w:rFonts w:hint="default" w:eastAsia="宋体"/>
                <w:sz w:val="24"/>
                <w:szCs w:val="24"/>
                <w:lang w:val="en-US" w:bidi="ar-SA"/>
              </w:rPr>
            </w:pPr>
            <w:r>
              <w:rPr>
                <w:rFonts w:hint="eastAsia" w:eastAsia="宋体"/>
                <w:sz w:val="24"/>
                <w:szCs w:val="24"/>
                <w:lang w:val="en-US" w:bidi="ar-SA"/>
              </w:rPr>
              <w:t>浙江吉利远程新能源商用车集团有限公司与广州公交集团汽车服务有限公司等经营者新设合营企业案</w:t>
            </w:r>
          </w:p>
        </w:tc>
      </w:tr>
      <w:tr w14:paraId="6FBE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1881" w:type="dxa"/>
            <w:shd w:val="clear" w:color="auto" w:fill="auto"/>
            <w:vAlign w:val="center"/>
          </w:tcPr>
          <w:p w14:paraId="3196B608">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交易概况（限200字内）</w:t>
            </w:r>
          </w:p>
        </w:tc>
        <w:tc>
          <w:tcPr>
            <w:tcW w:w="7071" w:type="dxa"/>
            <w:gridSpan w:val="2"/>
            <w:vAlign w:val="center"/>
          </w:tcPr>
          <w:p w14:paraId="35CAE0AB">
            <w:pPr>
              <w:pStyle w:val="7"/>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360" w:lineRule="exact"/>
              <w:ind w:left="0" w:right="0"/>
              <w:jc w:val="both"/>
              <w:textAlignment w:val="auto"/>
              <w:rPr>
                <w:rFonts w:hint="default" w:ascii="Times New Roman" w:hAnsi="Times New Roman" w:eastAsia="宋体" w:cs="Times New Roman"/>
                <w:sz w:val="24"/>
                <w:szCs w:val="24"/>
              </w:rPr>
            </w:pPr>
            <w:r>
              <w:rPr>
                <w:rFonts w:hint="eastAsia" w:ascii="Times New Roman" w:hAnsi="Times New Roman" w:eastAsia="宋体" w:cs="Times New Roman"/>
                <w:kern w:val="2"/>
                <w:sz w:val="24"/>
                <w:szCs w:val="24"/>
                <w:lang w:val="en-US" w:eastAsia="zh-CN" w:bidi="ar-SA"/>
              </w:rPr>
              <w:t>浙江吉利远程新能源商用车集团有限公司（“吉利远程”）、广州公交集团汽车服务有限公司（“广交车服”）与广州云途通创业投资合伙企业（有限合伙）（“云途通基金”）签署协议，约定共同新设合营企业。合营企业主要从事新能源商用车的销售业务。交易后，吉利远程、广交车服和云途通基金将分别持有合营企业51%、25%和24%的股权，共同控制合营企业。</w:t>
            </w:r>
          </w:p>
        </w:tc>
      </w:tr>
      <w:tr w14:paraId="0C9B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8" w:hRule="atLeast"/>
        </w:trPr>
        <w:tc>
          <w:tcPr>
            <w:tcW w:w="1881" w:type="dxa"/>
            <w:vMerge w:val="restart"/>
            <w:shd w:val="clear" w:color="auto" w:fill="auto"/>
            <w:vAlign w:val="center"/>
          </w:tcPr>
          <w:p w14:paraId="45AD6292">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参与集中的经营者简介（每个限</w:t>
            </w:r>
            <w:r>
              <w:rPr>
                <w:rFonts w:hint="default" w:cs="Times New Roman"/>
                <w:bCs/>
                <w:color w:val="000000"/>
                <w:sz w:val="24"/>
                <w:szCs w:val="24"/>
                <w:lang w:val="en-US" w:eastAsia="zh-CN"/>
              </w:rPr>
              <w:t>100字以内</w:t>
            </w:r>
            <w:r>
              <w:rPr>
                <w:rFonts w:hint="default" w:cs="Times New Roman"/>
                <w:bCs/>
                <w:color w:val="000000"/>
                <w:sz w:val="24"/>
                <w:szCs w:val="24"/>
                <w:lang w:eastAsia="zh-CN"/>
              </w:rPr>
              <w:t>）</w:t>
            </w:r>
          </w:p>
        </w:tc>
        <w:tc>
          <w:tcPr>
            <w:tcW w:w="1438" w:type="dxa"/>
            <w:vAlign w:val="center"/>
          </w:tcPr>
          <w:p w14:paraId="05963D30">
            <w:pPr>
              <w:pStyle w:val="3"/>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default" w:cs="Times New Roman"/>
                <w:bCs/>
                <w:color w:val="000000"/>
                <w:sz w:val="24"/>
                <w:szCs w:val="24"/>
                <w:lang w:val="en-US" w:eastAsia="zh-CN"/>
              </w:rPr>
              <w:t>1.</w:t>
            </w:r>
            <w:r>
              <w:rPr>
                <w:rFonts w:hint="default" w:cs="Times New Roman"/>
                <w:bCs/>
                <w:color w:val="000000"/>
                <w:sz w:val="24"/>
                <w:szCs w:val="24"/>
                <w:lang w:eastAsia="zh-CN"/>
              </w:rPr>
              <w:t>吉利</w:t>
            </w:r>
            <w:r>
              <w:rPr>
                <w:rFonts w:hint="eastAsia" w:cs="Times New Roman"/>
                <w:bCs/>
                <w:color w:val="000000"/>
                <w:sz w:val="24"/>
                <w:szCs w:val="24"/>
                <w:lang w:eastAsia="zh-CN"/>
              </w:rPr>
              <w:t>远程</w:t>
            </w:r>
          </w:p>
        </w:tc>
        <w:tc>
          <w:tcPr>
            <w:tcW w:w="5633" w:type="dxa"/>
            <w:vAlign w:val="center"/>
          </w:tcPr>
          <w:p w14:paraId="65D53793">
            <w:pPr>
              <w:keepNext w:val="0"/>
              <w:keepLines w:val="0"/>
              <w:suppressLineNumbers w:val="0"/>
              <w:adjustRightInd w:val="0"/>
              <w:snapToGrid w:val="0"/>
              <w:spacing w:before="0" w:beforeAutospacing="0" w:after="0" w:afterAutospacing="0"/>
              <w:ind w:left="0" w:right="0"/>
              <w:jc w:val="both"/>
              <w:rPr>
                <w:rFonts w:hint="eastAsia" w:eastAsia="宋体"/>
                <w:sz w:val="24"/>
                <w:szCs w:val="24"/>
                <w:lang w:val="en-US" w:eastAsia="zh-CN" w:bidi="ar-SA"/>
              </w:rPr>
            </w:pPr>
            <w:r>
              <w:rPr>
                <w:rFonts w:hint="eastAsia" w:eastAsia="宋体"/>
                <w:sz w:val="24"/>
                <w:szCs w:val="24"/>
                <w:lang w:val="en-US" w:eastAsia="zh-CN" w:bidi="ar-SA"/>
              </w:rPr>
              <w:t>吉利</w:t>
            </w:r>
            <w:r>
              <w:rPr>
                <w:rFonts w:hint="eastAsia"/>
                <w:sz w:val="24"/>
                <w:szCs w:val="24"/>
                <w:lang w:val="en-US" w:eastAsia="zh-CN" w:bidi="ar-SA"/>
              </w:rPr>
              <w:t>远程</w:t>
            </w:r>
            <w:r>
              <w:rPr>
                <w:rFonts w:hint="eastAsia" w:eastAsia="宋体"/>
                <w:sz w:val="24"/>
                <w:szCs w:val="24"/>
                <w:lang w:val="en-US" w:eastAsia="zh-CN" w:bidi="ar-SA"/>
              </w:rPr>
              <w:t>于2016年2月1日成立于浙江省杭州市，主要业务为研发、生产并销售以纯电驱动和增程式电驱动的动力系统为核心的城市商用车，以及以液氢能源甲醇动力与换电技术的纯电驱动为核心的公路商用车。</w:t>
            </w:r>
          </w:p>
          <w:p w14:paraId="63FE9BE0">
            <w:pPr>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eastAsia" w:eastAsia="宋体"/>
                <w:sz w:val="24"/>
                <w:szCs w:val="24"/>
                <w:lang w:val="en-US" w:eastAsia="zh-CN" w:bidi="ar-SA"/>
              </w:rPr>
              <w:t>吉利</w:t>
            </w:r>
            <w:r>
              <w:rPr>
                <w:rFonts w:hint="eastAsia"/>
                <w:sz w:val="24"/>
                <w:szCs w:val="24"/>
                <w:lang w:val="en-US" w:eastAsia="zh-CN" w:bidi="ar-SA"/>
              </w:rPr>
              <w:t>远程</w:t>
            </w:r>
            <w:r>
              <w:rPr>
                <w:rFonts w:hint="eastAsia" w:eastAsia="宋体"/>
                <w:sz w:val="24"/>
                <w:szCs w:val="24"/>
                <w:lang w:val="en-US" w:eastAsia="zh-CN" w:bidi="ar-SA"/>
              </w:rPr>
              <w:t>的最终控制人为自然人李书福，主要业务为从事乘用车整车、乘用车零部件等的设计、研发、生产、销售及服务业务，并涉及移动出行服务、金融服务、教育、赛车运动等业务。</w:t>
            </w:r>
          </w:p>
        </w:tc>
      </w:tr>
      <w:tr w14:paraId="60AD0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1881" w:type="dxa"/>
            <w:vMerge w:val="continue"/>
            <w:shd w:val="clear" w:color="auto" w:fill="auto"/>
            <w:vAlign w:val="center"/>
          </w:tcPr>
          <w:p w14:paraId="434366B3">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1438" w:type="dxa"/>
            <w:vAlign w:val="center"/>
          </w:tcPr>
          <w:p w14:paraId="36743262">
            <w:pPr>
              <w:pStyle w:val="3"/>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eastAsia="zh-CN"/>
              </w:rPr>
            </w:pPr>
            <w:r>
              <w:rPr>
                <w:rFonts w:hint="default" w:cs="Times New Roman"/>
                <w:bCs/>
                <w:color w:val="000000"/>
                <w:sz w:val="24"/>
                <w:szCs w:val="24"/>
                <w:lang w:val="en-US" w:eastAsia="zh-CN"/>
              </w:rPr>
              <w:t>2.</w:t>
            </w:r>
            <w:r>
              <w:rPr>
                <w:rFonts w:hint="eastAsia" w:cs="Times New Roman"/>
                <w:bCs/>
                <w:color w:val="000000"/>
                <w:sz w:val="24"/>
                <w:szCs w:val="24"/>
                <w:lang w:val="en-US" w:eastAsia="zh-CN"/>
              </w:rPr>
              <w:t>广交车服</w:t>
            </w:r>
          </w:p>
        </w:tc>
        <w:tc>
          <w:tcPr>
            <w:tcW w:w="5633" w:type="dxa"/>
            <w:vAlign w:val="center"/>
          </w:tcPr>
          <w:p w14:paraId="67195454">
            <w:pPr>
              <w:keepNext w:val="0"/>
              <w:keepLines w:val="0"/>
              <w:suppressLineNumbers w:val="0"/>
              <w:adjustRightInd w:val="0"/>
              <w:snapToGrid w:val="0"/>
              <w:spacing w:before="0" w:beforeAutospacing="0" w:after="0" w:afterAutospacing="0"/>
              <w:ind w:left="0" w:right="0"/>
              <w:jc w:val="both"/>
              <w:rPr>
                <w:rFonts w:hint="eastAsia"/>
                <w:sz w:val="24"/>
                <w:szCs w:val="24"/>
                <w:lang w:val="en-US" w:bidi="ar-SA"/>
              </w:rPr>
            </w:pPr>
            <w:r>
              <w:rPr>
                <w:rFonts w:hint="eastAsia"/>
                <w:sz w:val="24"/>
                <w:szCs w:val="24"/>
                <w:lang w:val="en-US" w:bidi="ar-SA"/>
              </w:rPr>
              <w:t>广交车服于2019年4月15日成立于广东省广州市，主要业务为汽车及零配件销售、采购咨询、招标代理、集中采购平台运营等业务。</w:t>
            </w:r>
          </w:p>
          <w:p w14:paraId="41488C4E">
            <w:pPr>
              <w:keepNext w:val="0"/>
              <w:keepLines w:val="0"/>
              <w:suppressLineNumbers w:val="0"/>
              <w:adjustRightInd w:val="0"/>
              <w:snapToGrid w:val="0"/>
              <w:spacing w:before="0" w:beforeAutospacing="0" w:after="0" w:afterAutospacing="0"/>
              <w:ind w:left="0" w:right="0"/>
              <w:jc w:val="both"/>
              <w:rPr>
                <w:rFonts w:hint="default"/>
                <w:bCs/>
                <w:color w:val="000000"/>
                <w:sz w:val="24"/>
                <w:szCs w:val="24"/>
              </w:rPr>
            </w:pPr>
            <w:r>
              <w:rPr>
                <w:rFonts w:hint="eastAsia"/>
                <w:sz w:val="24"/>
                <w:szCs w:val="24"/>
                <w:lang w:val="en-US" w:bidi="ar-SA"/>
              </w:rPr>
              <w:t>广交车服的最终控制人为广州市公共交通集团有限公司，主要业务为城市公交、出租客运、公路客运、交通旅游、现代物流、低碳新能源、汽车后市场、智慧交通、交通传媒等。</w:t>
            </w:r>
          </w:p>
        </w:tc>
      </w:tr>
      <w:tr w14:paraId="74725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2" w:hRule="atLeast"/>
        </w:trPr>
        <w:tc>
          <w:tcPr>
            <w:tcW w:w="1881" w:type="dxa"/>
            <w:vMerge w:val="continue"/>
            <w:shd w:val="clear" w:color="auto" w:fill="auto"/>
            <w:vAlign w:val="center"/>
          </w:tcPr>
          <w:p w14:paraId="3793DB59">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1438" w:type="dxa"/>
            <w:vAlign w:val="center"/>
          </w:tcPr>
          <w:p w14:paraId="3E18A62E">
            <w:pPr>
              <w:pStyle w:val="3"/>
              <w:keepNext w:val="0"/>
              <w:keepLines w:val="0"/>
              <w:suppressLineNumbers w:val="0"/>
              <w:adjustRightInd w:val="0"/>
              <w:snapToGrid w:val="0"/>
              <w:spacing w:before="0" w:beforeAutospacing="0" w:after="0" w:afterAutospacing="0"/>
              <w:ind w:left="0" w:right="0"/>
              <w:jc w:val="both"/>
              <w:rPr>
                <w:rFonts w:hint="default" w:cs="Times New Roman"/>
                <w:bCs/>
                <w:color w:val="000000"/>
                <w:sz w:val="24"/>
                <w:szCs w:val="24"/>
                <w:lang w:val="en-US" w:eastAsia="zh-CN"/>
              </w:rPr>
            </w:pPr>
            <w:r>
              <w:rPr>
                <w:rFonts w:hint="eastAsia" w:cs="Times New Roman"/>
                <w:bCs/>
                <w:color w:val="000000"/>
                <w:sz w:val="24"/>
                <w:szCs w:val="24"/>
                <w:lang w:val="en-US" w:eastAsia="zh-CN"/>
              </w:rPr>
              <w:t>3.云途通基金</w:t>
            </w:r>
          </w:p>
        </w:tc>
        <w:tc>
          <w:tcPr>
            <w:tcW w:w="5633" w:type="dxa"/>
            <w:vAlign w:val="center"/>
          </w:tcPr>
          <w:p w14:paraId="3861E5EA">
            <w:pPr>
              <w:keepNext w:val="0"/>
              <w:keepLines w:val="0"/>
              <w:suppressLineNumbers w:val="0"/>
              <w:adjustRightInd w:val="0"/>
              <w:snapToGrid w:val="0"/>
              <w:spacing w:before="0" w:beforeAutospacing="0" w:after="0" w:afterAutospacing="0"/>
              <w:ind w:left="0" w:right="0"/>
              <w:jc w:val="both"/>
              <w:rPr>
                <w:rFonts w:hint="eastAsia"/>
                <w:sz w:val="24"/>
                <w:szCs w:val="24"/>
                <w:lang w:val="en-US" w:bidi="ar-SA"/>
              </w:rPr>
            </w:pPr>
            <w:r>
              <w:rPr>
                <w:rFonts w:hint="eastAsia"/>
                <w:sz w:val="24"/>
                <w:szCs w:val="24"/>
                <w:lang w:val="en-US" w:bidi="ar-SA"/>
              </w:rPr>
              <w:t>云途通</w:t>
            </w:r>
            <w:r>
              <w:rPr>
                <w:rFonts w:hint="eastAsia"/>
                <w:sz w:val="24"/>
                <w:szCs w:val="24"/>
                <w:lang w:val="en-US" w:eastAsia="zh-CN" w:bidi="ar-SA"/>
              </w:rPr>
              <w:t>基金</w:t>
            </w:r>
            <w:r>
              <w:rPr>
                <w:rFonts w:hint="eastAsia"/>
                <w:sz w:val="24"/>
                <w:szCs w:val="24"/>
                <w:lang w:val="en-US" w:bidi="ar-SA"/>
              </w:rPr>
              <w:t>于2024年11月21日成立于广东省广州市，主要业务为从事投资活动。</w:t>
            </w:r>
          </w:p>
          <w:p w14:paraId="39C98106">
            <w:pPr>
              <w:keepNext w:val="0"/>
              <w:keepLines w:val="0"/>
              <w:suppressLineNumbers w:val="0"/>
              <w:adjustRightInd w:val="0"/>
              <w:snapToGrid w:val="0"/>
              <w:spacing w:before="0" w:beforeAutospacing="0" w:after="0" w:afterAutospacing="0"/>
              <w:ind w:left="0" w:right="0"/>
              <w:jc w:val="both"/>
              <w:rPr>
                <w:rFonts w:hint="eastAsia"/>
                <w:sz w:val="24"/>
                <w:szCs w:val="24"/>
                <w:lang w:val="en-US" w:bidi="ar-SA"/>
              </w:rPr>
            </w:pPr>
            <w:r>
              <w:rPr>
                <w:rFonts w:hint="eastAsia"/>
                <w:sz w:val="24"/>
                <w:szCs w:val="24"/>
                <w:lang w:val="en-US" w:bidi="ar-SA"/>
              </w:rPr>
              <w:t>云途通</w:t>
            </w:r>
            <w:r>
              <w:rPr>
                <w:rFonts w:hint="eastAsia"/>
                <w:sz w:val="24"/>
                <w:szCs w:val="24"/>
                <w:lang w:val="en-US" w:eastAsia="zh-CN" w:bidi="ar-SA"/>
              </w:rPr>
              <w:t>基金</w:t>
            </w:r>
            <w:r>
              <w:rPr>
                <w:rFonts w:hint="eastAsia"/>
                <w:sz w:val="24"/>
                <w:szCs w:val="24"/>
                <w:lang w:val="en-US" w:bidi="ar-SA"/>
              </w:rPr>
              <w:t>的最终控制人为自然人邢映彪、陈丽娜</w:t>
            </w:r>
            <w:r>
              <w:rPr>
                <w:rFonts w:hint="eastAsia"/>
                <w:sz w:val="24"/>
                <w:szCs w:val="24"/>
                <w:lang w:val="en-US" w:eastAsia="zh-CN" w:bidi="ar-SA"/>
              </w:rPr>
              <w:t>，</w:t>
            </w:r>
            <w:r>
              <w:rPr>
                <w:rFonts w:hint="eastAsia"/>
                <w:sz w:val="24"/>
                <w:szCs w:val="24"/>
                <w:lang w:val="en-US" w:bidi="ar-SA"/>
              </w:rPr>
              <w:t>广州白云金科控股集团有限公司（“白云金控”）和广州金融控股集团有限公司（“广州金控”）。邢映彪、陈丽娜主要通过广州通达汽车电气股份有限公司（“</w:t>
            </w:r>
            <w:r>
              <w:rPr>
                <w:rFonts w:hint="eastAsia"/>
                <w:sz w:val="24"/>
                <w:szCs w:val="24"/>
                <w:lang w:val="en-US" w:eastAsia="zh-CN" w:bidi="ar-SA"/>
              </w:rPr>
              <w:t>通达电气</w:t>
            </w:r>
            <w:r>
              <w:rPr>
                <w:rFonts w:hint="eastAsia"/>
                <w:sz w:val="24"/>
                <w:szCs w:val="24"/>
                <w:lang w:val="en-US" w:bidi="ar-SA"/>
              </w:rPr>
              <w:t>”）及其关联实体从事业务，通达电气的主要业务为车载智能终端综合信息管理系统及配套汽车电气产品的研发、生产和销售。白云金控的主要业务为基金管理、股权投资、融资担保、供应链等金融服务。广州金控主要从事国家及地方金融业务。</w:t>
            </w:r>
          </w:p>
        </w:tc>
      </w:tr>
      <w:tr w14:paraId="09A7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81" w:type="dxa"/>
            <w:vMerge w:val="restart"/>
            <w:shd w:val="clear" w:color="auto" w:fill="auto"/>
            <w:vAlign w:val="center"/>
          </w:tcPr>
          <w:p w14:paraId="778468A6">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eastAsia="zh-CN"/>
              </w:rPr>
              <w:t>简易案件理由（可以单选，也可以多选）</w:t>
            </w:r>
          </w:p>
        </w:tc>
        <w:tc>
          <w:tcPr>
            <w:tcW w:w="7071" w:type="dxa"/>
            <w:gridSpan w:val="2"/>
            <w:vAlign w:val="center"/>
          </w:tcPr>
          <w:p w14:paraId="4A916788">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sz w:val="24"/>
                <w:szCs w:val="24"/>
              </w:rPr>
              <w:sym w:font="Wingdings" w:char="F0FE"/>
            </w:r>
            <w:r>
              <w:rPr>
                <w:rFonts w:hint="default" w:cs="Times New Roman"/>
                <w:bCs/>
                <w:color w:val="000000"/>
                <w:sz w:val="24"/>
                <w:szCs w:val="24"/>
                <w:lang w:eastAsia="zh-CN"/>
              </w:rPr>
              <w:t xml:space="preserve"> 1、在同一相关市场，所有参与集中的经营者所占市场份额之和小于15%。</w:t>
            </w:r>
          </w:p>
        </w:tc>
      </w:tr>
      <w:tr w14:paraId="34DC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81" w:type="dxa"/>
            <w:vMerge w:val="continue"/>
            <w:shd w:val="clear" w:color="auto" w:fill="auto"/>
            <w:vAlign w:val="center"/>
          </w:tcPr>
          <w:p w14:paraId="07C0E071">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70FD0652">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sz w:val="24"/>
                <w:szCs w:val="24"/>
              </w:rPr>
              <w:sym w:font="Wingdings" w:char="00A8"/>
            </w:r>
            <w:r>
              <w:rPr>
                <w:rFonts w:hint="default" w:cs="Times New Roman"/>
                <w:bCs/>
                <w:color w:val="000000"/>
                <w:sz w:val="24"/>
                <w:szCs w:val="24"/>
                <w:lang w:eastAsia="zh-CN"/>
              </w:rPr>
              <w:t xml:space="preserve"> 2、存在上下游关系的参与集中的经营者，在上下游市场所占的市场份额均小于25%。</w:t>
            </w:r>
          </w:p>
        </w:tc>
      </w:tr>
      <w:tr w14:paraId="4BC3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81" w:type="dxa"/>
            <w:vMerge w:val="continue"/>
            <w:shd w:val="clear" w:color="auto" w:fill="auto"/>
            <w:vAlign w:val="center"/>
          </w:tcPr>
          <w:p w14:paraId="0040054A">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4EEEA9D4">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3、不在同一相关市场、也不存在上下游关系的参与集中的经营者，在与交易有关的每个市场所占的份额均小于25%。</w:t>
            </w:r>
          </w:p>
        </w:tc>
      </w:tr>
      <w:tr w14:paraId="633F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81" w:type="dxa"/>
            <w:vMerge w:val="continue"/>
            <w:shd w:val="clear" w:color="auto" w:fill="auto"/>
            <w:vAlign w:val="center"/>
          </w:tcPr>
          <w:p w14:paraId="79789AFC">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4F63EECC">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4、参与集中的经营者在中国境外设立合营企业，合营企业不在中国境内从事经济活动。</w:t>
            </w:r>
          </w:p>
        </w:tc>
      </w:tr>
      <w:tr w14:paraId="062D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81" w:type="dxa"/>
            <w:vMerge w:val="continue"/>
            <w:shd w:val="clear" w:color="auto" w:fill="auto"/>
            <w:vAlign w:val="center"/>
          </w:tcPr>
          <w:p w14:paraId="223B7E64">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3E0CF766">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5、参与集中的经营者收购境外企业股权或资产的，该境外企业不在中国境内从事经济活动。</w:t>
            </w:r>
          </w:p>
        </w:tc>
      </w:tr>
      <w:tr w14:paraId="29274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81" w:type="dxa"/>
            <w:vMerge w:val="continue"/>
            <w:shd w:val="clear" w:color="auto" w:fill="auto"/>
            <w:vAlign w:val="center"/>
          </w:tcPr>
          <w:p w14:paraId="3D23A333">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p>
        </w:tc>
        <w:tc>
          <w:tcPr>
            <w:tcW w:w="7071" w:type="dxa"/>
            <w:gridSpan w:val="2"/>
            <w:vAlign w:val="center"/>
          </w:tcPr>
          <w:p w14:paraId="43F138B3">
            <w:pPr>
              <w:pStyle w:val="3"/>
              <w:keepNext w:val="0"/>
              <w:keepLines w:val="0"/>
              <w:suppressLineNumbers w:val="0"/>
              <w:adjustRightInd w:val="0"/>
              <w:snapToGrid w:val="0"/>
              <w:spacing w:before="0" w:beforeAutospacing="0" w:after="0" w:afterAutospacing="0"/>
              <w:ind w:left="0" w:right="0"/>
              <w:jc w:val="left"/>
              <w:rPr>
                <w:rFonts w:hint="default" w:cs="Times New Roman"/>
                <w:bCs/>
                <w:color w:val="000000"/>
                <w:sz w:val="24"/>
                <w:szCs w:val="24"/>
                <w:lang w:val="en-US" w:eastAsia="zh-CN"/>
              </w:rPr>
            </w:pPr>
            <w:r>
              <w:rPr>
                <w:rFonts w:hint="default" w:cs="Times New Roman"/>
                <w:bCs/>
                <w:color w:val="000000"/>
                <w:sz w:val="24"/>
                <w:szCs w:val="24"/>
                <w:lang w:eastAsia="zh-CN"/>
              </w:rPr>
              <w:sym w:font="Wingdings" w:char="00A8"/>
            </w:r>
            <w:r>
              <w:rPr>
                <w:rFonts w:hint="default" w:cs="Times New Roman"/>
                <w:bCs/>
                <w:color w:val="000000"/>
                <w:sz w:val="24"/>
                <w:szCs w:val="24"/>
                <w:lang w:eastAsia="zh-CN"/>
              </w:rPr>
              <w:t xml:space="preserve"> 6、由两个以上的经营者共同控制的合营企业，通过集中被其中一个或一个以上经营者控制。</w:t>
            </w:r>
          </w:p>
        </w:tc>
      </w:tr>
      <w:tr w14:paraId="130D7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1881" w:type="dxa"/>
            <w:shd w:val="clear" w:color="auto" w:fill="auto"/>
            <w:vAlign w:val="center"/>
          </w:tcPr>
          <w:p w14:paraId="2B1AD181">
            <w:pPr>
              <w:pStyle w:val="3"/>
              <w:keepNext w:val="0"/>
              <w:keepLines w:val="0"/>
              <w:suppressLineNumbers w:val="0"/>
              <w:adjustRightInd w:val="0"/>
              <w:snapToGrid w:val="0"/>
              <w:spacing w:before="0" w:beforeAutospacing="0" w:after="0" w:afterAutospacing="0"/>
              <w:ind w:left="0" w:right="0"/>
              <w:jc w:val="center"/>
              <w:rPr>
                <w:rFonts w:hint="default" w:cs="Times New Roman"/>
                <w:bCs/>
                <w:color w:val="000000"/>
                <w:sz w:val="24"/>
                <w:szCs w:val="24"/>
                <w:lang w:val="en-US" w:eastAsia="zh-CN"/>
              </w:rPr>
            </w:pPr>
            <w:r>
              <w:rPr>
                <w:rFonts w:hint="default" w:cs="Times New Roman"/>
                <w:bCs/>
                <w:color w:val="000000"/>
                <w:sz w:val="24"/>
                <w:szCs w:val="24"/>
                <w:lang w:val="en-US" w:eastAsia="zh-CN"/>
              </w:rPr>
              <w:t>备注</w:t>
            </w:r>
          </w:p>
        </w:tc>
        <w:tc>
          <w:tcPr>
            <w:tcW w:w="7071" w:type="dxa"/>
            <w:gridSpan w:val="2"/>
            <w:vAlign w:val="center"/>
          </w:tcPr>
          <w:p w14:paraId="74E5F3A8">
            <w:pPr>
              <w:pStyle w:val="3"/>
              <w:keepNext w:val="0"/>
              <w:keepLines w:val="0"/>
              <w:suppressLineNumbers w:val="0"/>
              <w:adjustRightInd w:val="0"/>
              <w:snapToGrid w:val="0"/>
              <w:spacing w:before="0" w:beforeAutospacing="0" w:after="0" w:afterAutospacing="0"/>
              <w:ind w:left="0" w:right="0"/>
              <w:rPr>
                <w:rFonts w:hint="eastAsia"/>
                <w:b/>
                <w:bCs/>
                <w:sz w:val="24"/>
                <w:szCs w:val="24"/>
                <w:lang w:eastAsia="zh-CN"/>
              </w:rPr>
            </w:pPr>
            <w:r>
              <w:rPr>
                <w:rFonts w:hint="eastAsia"/>
                <w:b/>
                <w:bCs/>
                <w:sz w:val="24"/>
                <w:szCs w:val="24"/>
                <w:lang w:eastAsia="zh-CN"/>
              </w:rPr>
              <w:t>横向重叠：</w:t>
            </w:r>
          </w:p>
          <w:p w14:paraId="482A47FD">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2023年中国境内新能源重型货车市场：</w:t>
            </w:r>
          </w:p>
          <w:p w14:paraId="0E53EB6C">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吉利远程：5-10%；合营企业（预估）：0-5%；各方合计：</w:t>
            </w:r>
            <w:r>
              <w:rPr>
                <w:rFonts w:hint="eastAsia"/>
                <w:b w:val="0"/>
                <w:bCs w:val="0"/>
                <w:sz w:val="24"/>
                <w:szCs w:val="24"/>
                <w:lang w:val="en-US" w:eastAsia="zh-CN"/>
              </w:rPr>
              <w:t>5</w:t>
            </w:r>
            <w:r>
              <w:rPr>
                <w:rFonts w:hint="eastAsia"/>
                <w:b w:val="0"/>
                <w:bCs w:val="0"/>
                <w:sz w:val="24"/>
                <w:szCs w:val="24"/>
                <w:lang w:eastAsia="zh-CN"/>
              </w:rPr>
              <w:t>-</w:t>
            </w:r>
            <w:r>
              <w:rPr>
                <w:rFonts w:hint="eastAsia"/>
                <w:b w:val="0"/>
                <w:bCs w:val="0"/>
                <w:sz w:val="24"/>
                <w:szCs w:val="24"/>
                <w:lang w:val="en-US" w:eastAsia="zh-CN"/>
              </w:rPr>
              <w:t>10</w:t>
            </w:r>
            <w:r>
              <w:rPr>
                <w:rFonts w:hint="eastAsia"/>
                <w:b w:val="0"/>
                <w:bCs w:val="0"/>
                <w:sz w:val="24"/>
                <w:szCs w:val="24"/>
                <w:lang w:eastAsia="zh-CN"/>
              </w:rPr>
              <w:t>%</w:t>
            </w:r>
          </w:p>
          <w:p w14:paraId="4F599EF1">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2023年中国境内新能源大型客车市场：</w:t>
            </w:r>
          </w:p>
          <w:p w14:paraId="46FEF1E8">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吉利远程：0-5%；合营企业（预估）：0-5%；各方合计：0-5%</w:t>
            </w:r>
          </w:p>
          <w:p w14:paraId="3A2CAB2F">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2023年中国境内物流专用车市场：</w:t>
            </w:r>
          </w:p>
          <w:p w14:paraId="4669FB8D">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吉利远程：0-5%；合营企业（预估）：0-5%；各方合计：0-5%</w:t>
            </w:r>
          </w:p>
          <w:p w14:paraId="0591E41F">
            <w:pPr>
              <w:pStyle w:val="3"/>
              <w:keepNext w:val="0"/>
              <w:keepLines w:val="0"/>
              <w:suppressLineNumbers w:val="0"/>
              <w:adjustRightInd w:val="0"/>
              <w:snapToGrid w:val="0"/>
              <w:spacing w:before="0" w:beforeAutospacing="0" w:after="0" w:afterAutospacing="0"/>
              <w:ind w:left="0" w:right="0"/>
              <w:rPr>
                <w:rFonts w:hint="eastAsia"/>
                <w:b w:val="0"/>
                <w:bCs w:val="0"/>
                <w:sz w:val="24"/>
                <w:szCs w:val="24"/>
                <w:lang w:eastAsia="zh-CN"/>
              </w:rPr>
            </w:pPr>
            <w:r>
              <w:rPr>
                <w:rFonts w:hint="eastAsia"/>
                <w:b w:val="0"/>
                <w:bCs w:val="0"/>
                <w:sz w:val="24"/>
                <w:szCs w:val="24"/>
                <w:lang w:eastAsia="zh-CN"/>
              </w:rPr>
              <w:t>2023年中国境内环卫专用车市场：</w:t>
            </w:r>
          </w:p>
          <w:p w14:paraId="691C0078">
            <w:pPr>
              <w:pStyle w:val="3"/>
              <w:keepNext w:val="0"/>
              <w:keepLines w:val="0"/>
              <w:suppressLineNumbers w:val="0"/>
              <w:adjustRightInd w:val="0"/>
              <w:snapToGrid w:val="0"/>
              <w:spacing w:before="0" w:beforeAutospacing="0" w:after="0" w:afterAutospacing="0"/>
              <w:ind w:left="0" w:right="0"/>
              <w:rPr>
                <w:rFonts w:hint="default"/>
                <w:lang w:eastAsia="zh-CN"/>
              </w:rPr>
            </w:pPr>
            <w:r>
              <w:rPr>
                <w:rFonts w:hint="eastAsia"/>
                <w:b w:val="0"/>
                <w:bCs w:val="0"/>
                <w:sz w:val="24"/>
                <w:szCs w:val="24"/>
                <w:lang w:eastAsia="zh-CN"/>
              </w:rPr>
              <w:t>吉利远程：0-5%；合营企业（预估）：0-5%；各方合计：0-5%</w:t>
            </w:r>
          </w:p>
        </w:tc>
      </w:tr>
    </w:tbl>
    <w:p w14:paraId="4654CF6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75133C"/>
    <w:rsid w:val="0F75133C"/>
    <w:rsid w:val="71E75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Normal Indent"/>
    <w:basedOn w:val="1"/>
    <w:next w:val="1"/>
    <w:qFormat/>
    <w:uiPriority w:val="99"/>
  </w:style>
  <w:style w:type="paragraph" w:styleId="3">
    <w:name w:val="Body Text"/>
    <w:basedOn w:val="1"/>
    <w:next w:val="4"/>
    <w:unhideWhenUsed/>
    <w:qFormat/>
    <w:uiPriority w:val="99"/>
    <w:pPr>
      <w:spacing w:after="120"/>
    </w:pPr>
  </w:style>
  <w:style w:type="paragraph" w:styleId="4">
    <w:name w:val="Body Text First Indent"/>
    <w:basedOn w:val="3"/>
    <w:qFormat/>
    <w:uiPriority w:val="0"/>
    <w:pPr>
      <w:ind w:firstLine="420" w:firstLineChars="100"/>
    </w:pPr>
  </w:style>
  <w:style w:type="paragraph" w:customStyle="1" w:styleId="7">
    <w:name w:val="Table Paragraph"/>
    <w:basedOn w:val="1"/>
    <w:qFormat/>
    <w:uiPriority w:val="1"/>
    <w:pPr>
      <w:widowControl w:val="0"/>
      <w:autoSpaceDE w:val="0"/>
      <w:autoSpaceDN w:val="0"/>
      <w:spacing w:after="0"/>
      <w:jc w:val="left"/>
    </w:pPr>
    <w:rPr>
      <w:rFonts w:ascii="微软雅黑" w:hAnsi="微软雅黑" w:eastAsia="微软雅黑" w:cs="微软雅黑"/>
      <w:sz w:val="22"/>
      <w:szCs w:val="22"/>
      <w:lang w:val="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2</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2025-01-23T02:13:00Z</dcterms:created>
  <dc:creator>胡翌婧</dc:creator>
  <cp:lastModifiedBy>胡翌婧</cp:lastModifiedBy>
  <dcterms:modified xsi:type="dcterms:W3CDTF">2025-01-23T02:24:52Z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67E91D8346C8437B8D47DEBB75445B2B_11</vt:lpwstr>
  </property>
  <property fmtid="{D5CDD505-2E9C-101B-9397-08002B2CF9AE}" pid="4" name="KSOTemplateDocerSaveRecord">
    <vt:lpwstr>eyJoZGlkIjoiODNjM2VkZWUwYjdkZDYzZGY2NmZiZGNiZGIyMjFjYWIiLCJ1c2VySWQiOiIyNDQ2MzYxMzgifQ==</vt:lpwstr>
  </property>
</Properties>
</file>