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18D9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hint="default" w:ascii="Times New Roman" w:hAnsi="Times New Roman" w:eastAsia="黑体" w:cs="Times New Roman"/>
          <w:bCs/>
          <w:kern w:val="0"/>
          <w:sz w:val="44"/>
          <w:szCs w:val="44"/>
          <w:lang w:val="en-GB" w:bidi="ar-AE"/>
        </w:rPr>
      </w:pPr>
      <w:bookmarkStart w:id="0" w:name="_GoBack"/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bookmarkEnd w:id="0"/>
    <w:tbl>
      <w:tblPr>
        <w:tblStyle w:val="4"/>
        <w:tblW w:w="948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631"/>
        <w:gridCol w:w="6044"/>
      </w:tblGrid>
      <w:tr w14:paraId="633D7E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" w:hRule="atLeast"/>
          <w:jc w:val="center"/>
        </w:trPr>
        <w:tc>
          <w:tcPr>
            <w:tcW w:w="1810" w:type="dxa"/>
            <w:shd w:val="clear" w:color="auto" w:fill="auto"/>
            <w:vAlign w:val="center"/>
          </w:tcPr>
          <w:p w14:paraId="4D6B7F67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案件名称</w:t>
            </w:r>
          </w:p>
        </w:tc>
        <w:tc>
          <w:tcPr>
            <w:tcW w:w="7675" w:type="dxa"/>
            <w:gridSpan w:val="2"/>
            <w:vAlign w:val="top"/>
          </w:tcPr>
          <w:p w14:paraId="24C60F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广州工业投资控股集团有限公司收购孚能科技（赣州）股份有限公司股权案</w:t>
            </w:r>
          </w:p>
        </w:tc>
      </w:tr>
      <w:tr w14:paraId="43B999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39" w:hRule="atLeast"/>
          <w:jc w:val="center"/>
        </w:trPr>
        <w:tc>
          <w:tcPr>
            <w:tcW w:w="1810" w:type="dxa"/>
            <w:shd w:val="clear" w:color="auto" w:fill="auto"/>
            <w:vAlign w:val="center"/>
          </w:tcPr>
          <w:p w14:paraId="16129EC4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交易概况</w:t>
            </w:r>
          </w:p>
          <w:p w14:paraId="604F39B0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（限200字内）</w:t>
            </w:r>
          </w:p>
        </w:tc>
        <w:tc>
          <w:tcPr>
            <w:tcW w:w="7675" w:type="dxa"/>
            <w:gridSpan w:val="2"/>
            <w:vAlign w:val="top"/>
          </w:tcPr>
          <w:p w14:paraId="3D2C12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spacing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</w:rPr>
              <w:t>广州工业投资控股集团有限公司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（“广州工控”）与</w:t>
            </w:r>
            <w:r>
              <w:rPr>
                <w:rFonts w:ascii="Times New Roman" w:hAnsi="Times New Roman"/>
                <w:kern w:val="0"/>
                <w:sz w:val="24"/>
                <w:szCs w:val="24"/>
              </w:rPr>
              <w:t>孚能科技（赣州）股份有限公司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（“孚能科技”）等签署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协议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广州工控</w:t>
            </w:r>
            <w:r>
              <w:rPr>
                <w:rFonts w:hint="eastAsia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拟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收购孚能科技5%的股权。孚能科技主要从事锂离子动力电池的生产、销售。交易前，Farasis Energy (Asia Pacific) Limited及其关联方持有孚能科技21.4854%的股份，单独控制</w:t>
            </w:r>
            <w: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孚能科技。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交易后，广州工控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及其关联方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总计持有孚能科技1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.1550%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的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股份</w:t>
            </w:r>
            <w:r>
              <w:rPr>
                <w:rFonts w:hint="eastAsia" w:ascii="Times New Roman" w:hAnsi="Times New Roman"/>
                <w:color w:val="000000" w:themeColor="text1"/>
                <w:kern w:val="0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，单独控制孚能科技。</w:t>
            </w:r>
          </w:p>
        </w:tc>
      </w:tr>
      <w:tr w14:paraId="41560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  <w:jc w:val="center"/>
        </w:trPr>
        <w:tc>
          <w:tcPr>
            <w:tcW w:w="1810" w:type="dxa"/>
            <w:vMerge w:val="restart"/>
            <w:shd w:val="clear" w:color="auto" w:fill="auto"/>
            <w:vAlign w:val="center"/>
          </w:tcPr>
          <w:p w14:paraId="7B15AB42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参与集中的</w:t>
            </w:r>
          </w:p>
          <w:p w14:paraId="3D3C21F4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经营者简介</w:t>
            </w:r>
          </w:p>
          <w:p w14:paraId="7D0A2401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（每个限100字以内）</w:t>
            </w:r>
          </w:p>
        </w:tc>
        <w:tc>
          <w:tcPr>
            <w:tcW w:w="1631" w:type="dxa"/>
            <w:vAlign w:val="center"/>
          </w:tcPr>
          <w:p w14:paraId="3467466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</w:rPr>
              <w:t>1.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Cs/>
                <w:color w:val="000000"/>
                <w:sz w:val="24"/>
              </w:rPr>
              <w:t>广州工控</w:t>
            </w:r>
          </w:p>
        </w:tc>
        <w:tc>
          <w:tcPr>
            <w:tcW w:w="6044" w:type="dxa"/>
            <w:vAlign w:val="top"/>
          </w:tcPr>
          <w:p w14:paraId="0E2482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广州工控于1978年5月26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eastAsia="zh-Hans" w:bidi="ar-AE"/>
              </w:rPr>
              <w:t>日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成立于中国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US" w:eastAsia="zh-CN" w:bidi="ar-AE"/>
              </w:rPr>
              <w:t>广东省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，主要业务为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val="en-GB" w:bidi="ar-AE"/>
              </w:rPr>
              <w:t>先进制造业，生产包括含建筑工程用机械、起重机、薄膜设备、航空发动机、电梯、自动扶梯等装备制造业</w:t>
            </w: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。</w:t>
            </w:r>
          </w:p>
          <w:p w14:paraId="374F2A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广州工控是广州市人民政府下属企业。</w:t>
            </w:r>
          </w:p>
        </w:tc>
      </w:tr>
      <w:tr w14:paraId="6525D5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87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42FEF090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1631" w:type="dxa"/>
            <w:vAlign w:val="center"/>
          </w:tcPr>
          <w:p w14:paraId="7C712D96">
            <w:pPr>
              <w:pStyle w:val="2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</w:rPr>
              <w:t>2.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bCs/>
                <w:color w:val="000000"/>
                <w:sz w:val="24"/>
              </w:rPr>
              <w:t>孚能科技</w:t>
            </w:r>
          </w:p>
        </w:tc>
        <w:tc>
          <w:tcPr>
            <w:tcW w:w="6044" w:type="dxa"/>
            <w:vAlign w:val="top"/>
          </w:tcPr>
          <w:p w14:paraId="3B2AB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孚能科技于2009年12月18日成立于中国江西省，主要业务为锂离子动力电池的研发、生产、销售、服务。</w:t>
            </w:r>
          </w:p>
          <w:p w14:paraId="77FEE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20" w:lineRule="exact"/>
              <w:jc w:val="both"/>
              <w:textAlignment w:val="auto"/>
              <w:rPr>
                <w:bCs/>
                <w:color w:val="000000"/>
                <w:sz w:val="24"/>
                <w:szCs w:val="32"/>
              </w:rPr>
            </w:pPr>
            <w:r>
              <w:rPr>
                <w:rFonts w:hint="eastAsia" w:ascii="Times New Roman" w:hAnsi="Times New Roman" w:cs="Times New Roman"/>
                <w:bCs/>
                <w:color w:val="000000"/>
                <w:kern w:val="0"/>
                <w:sz w:val="24"/>
                <w:szCs w:val="24"/>
                <w:lang w:bidi="ar-AE"/>
              </w:rPr>
              <w:t>孚能科技最终控制人为自然人，主要业务为锂离子动力电池的研发、生产、销售、服务。</w:t>
            </w:r>
          </w:p>
        </w:tc>
      </w:tr>
      <w:tr w14:paraId="24CCD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restart"/>
            <w:shd w:val="clear" w:color="auto" w:fill="auto"/>
            <w:vAlign w:val="center"/>
          </w:tcPr>
          <w:p w14:paraId="4C202AC9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简易案件理由（可以单选，</w:t>
            </w:r>
          </w:p>
          <w:p w14:paraId="2573705E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也可以多选）</w:t>
            </w:r>
          </w:p>
        </w:tc>
        <w:tc>
          <w:tcPr>
            <w:tcW w:w="7675" w:type="dxa"/>
            <w:gridSpan w:val="2"/>
            <w:vAlign w:val="center"/>
          </w:tcPr>
          <w:p w14:paraId="4F641D54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1、在同一相关市场，所有参与集中的经营者所占市场份额之和小于15%。</w:t>
            </w:r>
          </w:p>
        </w:tc>
      </w:tr>
      <w:tr w14:paraId="771EA0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2EB36F9B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7675" w:type="dxa"/>
            <w:gridSpan w:val="2"/>
            <w:vAlign w:val="center"/>
          </w:tcPr>
          <w:p w14:paraId="1C97B0BA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FE"/>
            </w:r>
            <w:r>
              <w:rPr>
                <w:bCs/>
                <w:color w:val="000000"/>
                <w:sz w:val="24"/>
                <w:szCs w:val="32"/>
              </w:rPr>
              <w:t xml:space="preserve"> 2、存在上下游关系的参与集中的经营者，在上下游市场所占的市场份额均小于25%。</w:t>
            </w:r>
          </w:p>
        </w:tc>
      </w:tr>
      <w:tr w14:paraId="5FC64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4DEFF024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7675" w:type="dxa"/>
            <w:gridSpan w:val="2"/>
            <w:vAlign w:val="center"/>
          </w:tcPr>
          <w:p w14:paraId="678FCFF1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14:paraId="67AA46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7792076E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7675" w:type="dxa"/>
            <w:gridSpan w:val="2"/>
            <w:vAlign w:val="center"/>
          </w:tcPr>
          <w:p w14:paraId="0255B925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4、参与集中的经营者在中国境外设立合营企业，合营企业不在中国境内从事经济活动。</w:t>
            </w:r>
          </w:p>
        </w:tc>
      </w:tr>
      <w:tr w14:paraId="2DF97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088F2ED8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7675" w:type="dxa"/>
            <w:gridSpan w:val="2"/>
            <w:vAlign w:val="center"/>
          </w:tcPr>
          <w:p w14:paraId="35E76EA6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5、参与集中的经营者收购境外企业股权或资产的，该境外企业不在中国境内从事经济活动。</w:t>
            </w:r>
          </w:p>
        </w:tc>
      </w:tr>
      <w:tr w14:paraId="6AD0E2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1810" w:type="dxa"/>
            <w:vMerge w:val="continue"/>
            <w:shd w:val="clear" w:color="auto" w:fill="auto"/>
            <w:vAlign w:val="center"/>
          </w:tcPr>
          <w:p w14:paraId="6B1FB741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</w:p>
        </w:tc>
        <w:tc>
          <w:tcPr>
            <w:tcW w:w="7675" w:type="dxa"/>
            <w:gridSpan w:val="2"/>
            <w:vAlign w:val="center"/>
          </w:tcPr>
          <w:p w14:paraId="696B6CC6">
            <w:pPr>
              <w:pStyle w:val="2"/>
              <w:adjustRightInd w:val="0"/>
              <w:snapToGrid w:val="0"/>
              <w:spacing w:after="0"/>
              <w:jc w:val="both"/>
              <w:rPr>
                <w:bCs/>
                <w:color w:val="000000"/>
                <w:sz w:val="24"/>
                <w:szCs w:val="32"/>
              </w:rPr>
            </w:pPr>
            <w:r>
              <w:rPr>
                <w:bCs/>
                <w:color w:val="000000"/>
                <w:sz w:val="24"/>
                <w:szCs w:val="32"/>
              </w:rPr>
              <w:sym w:font="Wingdings" w:char="00A8"/>
            </w:r>
            <w:r>
              <w:rPr>
                <w:bCs/>
                <w:color w:val="000000"/>
                <w:sz w:val="24"/>
                <w:szCs w:val="32"/>
              </w:rPr>
              <w:t xml:space="preserve"> 6、由两个以上的经营者共同控制的合营企业，通过集中被其中一个或一个以上经营者控制。</w:t>
            </w:r>
          </w:p>
        </w:tc>
      </w:tr>
      <w:tr w14:paraId="426E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0" w:hRule="atLeast"/>
          <w:jc w:val="center"/>
        </w:trPr>
        <w:tc>
          <w:tcPr>
            <w:tcW w:w="1810" w:type="dxa"/>
            <w:shd w:val="clear" w:color="auto" w:fill="auto"/>
            <w:vAlign w:val="center"/>
          </w:tcPr>
          <w:p w14:paraId="56EAA346">
            <w:pPr>
              <w:pStyle w:val="2"/>
              <w:adjustRightInd w:val="0"/>
              <w:snapToGrid w:val="0"/>
              <w:spacing w:after="0"/>
              <w:jc w:val="center"/>
              <w:rPr>
                <w:b w:val="0"/>
                <w:bCs/>
                <w:color w:val="000000"/>
                <w:sz w:val="24"/>
                <w:szCs w:val="32"/>
              </w:rPr>
            </w:pPr>
            <w:r>
              <w:rPr>
                <w:b w:val="0"/>
                <w:bCs/>
                <w:color w:val="000000"/>
                <w:sz w:val="24"/>
                <w:szCs w:val="32"/>
              </w:rPr>
              <w:t>备注</w:t>
            </w:r>
          </w:p>
        </w:tc>
        <w:tc>
          <w:tcPr>
            <w:tcW w:w="7675" w:type="dxa"/>
            <w:gridSpan w:val="2"/>
            <w:vAlign w:val="center"/>
          </w:tcPr>
          <w:p w14:paraId="041C2E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eastAsiaTheme="minorEastAsia"/>
                <w:b/>
                <w:bCs/>
                <w:kern w:val="0"/>
                <w:sz w:val="24"/>
                <w:lang w:bidi="ar-AE"/>
              </w:rPr>
            </w:pPr>
            <w:r>
              <w:rPr>
                <w:rFonts w:hint="eastAsia" w:eastAsiaTheme="minorEastAsia"/>
                <w:b/>
                <w:bCs/>
                <w:kern w:val="0"/>
                <w:sz w:val="24"/>
                <w:lang w:bidi="ar-AE"/>
              </w:rPr>
              <w:t>纵向</w:t>
            </w:r>
            <w:r>
              <w:rPr>
                <w:rFonts w:hint="eastAsia" w:eastAsiaTheme="minorEastAsia"/>
                <w:b/>
                <w:bCs/>
                <w:kern w:val="0"/>
                <w:sz w:val="24"/>
                <w:lang w:val="en-US" w:eastAsia="zh-CN" w:bidi="ar-AE"/>
              </w:rPr>
              <w:t>关联</w:t>
            </w:r>
            <w:r>
              <w:rPr>
                <w:rFonts w:hint="eastAsia" w:eastAsiaTheme="minorEastAsia"/>
                <w:b/>
                <w:bCs/>
                <w:kern w:val="0"/>
                <w:sz w:val="24"/>
                <w:lang w:bidi="ar-AE"/>
              </w:rPr>
              <w:t>：</w:t>
            </w:r>
          </w:p>
          <w:p w14:paraId="39B4A8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</w:pPr>
            <w:r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  <w:t>上游：2023年中国境内镍钴锰三元正极材料市场：</w:t>
            </w:r>
          </w:p>
          <w:p w14:paraId="6AAE0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</w:pPr>
            <w:r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  <w:t>广州工控：0-5%</w:t>
            </w:r>
          </w:p>
          <w:p w14:paraId="3A45CE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</w:pPr>
            <w:r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  <w:t>下游：2023年中国境内（电动汽车用）锂离子动力电池市场：</w:t>
            </w:r>
          </w:p>
          <w:p w14:paraId="482669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40" w:lineRule="exact"/>
              <w:textAlignment w:val="auto"/>
              <w:rPr>
                <w:sz w:val="24"/>
                <w:szCs w:val="32"/>
              </w:rPr>
            </w:pPr>
            <w:r>
              <w:rPr>
                <w:rFonts w:hint="eastAsia" w:eastAsiaTheme="minorEastAsia"/>
                <w:b w:val="0"/>
                <w:bCs w:val="0"/>
                <w:kern w:val="0"/>
                <w:sz w:val="24"/>
                <w:lang w:bidi="ar-AE"/>
              </w:rPr>
              <w:t>孚能科技：0-5%</w:t>
            </w:r>
          </w:p>
        </w:tc>
      </w:tr>
    </w:tbl>
    <w:p w14:paraId="6ED56AD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panose1 w:val="02010601030101010101"/>
    <w:charset w:val="86"/>
    <w:family w:val="script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256BBB"/>
    <w:rsid w:val="51256B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next w:val="3"/>
    <w:unhideWhenUsed/>
    <w:qFormat/>
    <w:uiPriority w:val="99"/>
    <w:pPr>
      <w:spacing w:after="120"/>
    </w:pPr>
  </w:style>
  <w:style w:type="paragraph" w:styleId="3">
    <w:name w:val="Body Text First Indent"/>
    <w:basedOn w:val="2"/>
    <w:qFormat/>
    <w:uiPriority w:val="0"/>
    <w:pPr>
      <w:ind w:firstLine="420" w:firstLineChars="100"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省市场监督管理局</Company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2025-01-24T06:37:00Z</dcterms:created>
  <dc:creator>胡翌婧</dc:creator>
  <cp:lastModifiedBy>胡翌婧</cp:lastModifiedBy>
  <dcterms:modified xsi:type="dcterms:W3CDTF">2025-01-24T07:04:33Z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8B26E89FA36D411CAA167E7465169D5C_11</vt:lpwstr>
  </property>
  <property fmtid="{D5CDD505-2E9C-101B-9397-08002B2CF9AE}" pid="4" name="KSOTemplateDocerSaveRecord">
    <vt:lpwstr>eyJoZGlkIjoiODNjM2VkZWUwYjdkZDYzZGY2NmZiZGNiZGIyMjFjYWIiLCJ1c2VySWQiOiIyNDQ2MzYxMzgifQ==</vt:lpwstr>
  </property>
</Properties>
</file>