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eastAsia="黑体"/>
          <w:sz w:val="36"/>
          <w:szCs w:val="36"/>
        </w:rPr>
      </w:pPr>
      <w:r>
        <w:rPr>
          <w:rFonts w:hint="eastAsia" w:ascii="黑体" w:eastAsia="黑体"/>
          <w:sz w:val="36"/>
          <w:szCs w:val="36"/>
        </w:rPr>
        <w:t>经营者集中简易案件公示表</w:t>
      </w:r>
    </w:p>
    <w:p>
      <w:pPr>
        <w:spacing w:line="440" w:lineRule="exact"/>
        <w:rPr>
          <w:rFonts w:ascii="仿宋_GB2312" w:eastAsia="仿宋_GB2312"/>
          <w:sz w:val="28"/>
          <w:szCs w:val="28"/>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1430"/>
        <w:gridCol w:w="56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shd w:val="clear" w:color="auto" w:fill="D9D9D9"/>
            <w:vAlign w:val="center"/>
          </w:tcPr>
          <w:p>
            <w:pPr>
              <w:jc w:val="left"/>
              <w:rPr>
                <w:sz w:val="24"/>
                <w:szCs w:val="24"/>
              </w:rPr>
            </w:pPr>
            <w:r>
              <w:rPr>
                <w:sz w:val="24"/>
                <w:szCs w:val="24"/>
              </w:rPr>
              <w:t>案件名称</w:t>
            </w:r>
          </w:p>
        </w:tc>
        <w:tc>
          <w:tcPr>
            <w:tcW w:w="7075" w:type="dxa"/>
            <w:gridSpan w:val="2"/>
            <w:vAlign w:val="center"/>
          </w:tcPr>
          <w:p>
            <w:pPr>
              <w:jc w:val="left"/>
              <w:rPr>
                <w:sz w:val="24"/>
                <w:szCs w:val="24"/>
              </w:rPr>
            </w:pPr>
            <w:r>
              <w:rPr>
                <w:rFonts w:hint="eastAsia" w:eastAsia="宋体"/>
                <w:sz w:val="24"/>
                <w:szCs w:val="24"/>
              </w:rPr>
              <w:t>芜湖远大创业投资有限公司收购安徽神剑新材料股份有限公司股权案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683" w:type="dxa"/>
            <w:shd w:val="clear" w:color="auto" w:fill="D9D9D9"/>
            <w:vAlign w:val="center"/>
          </w:tcPr>
          <w:p>
            <w:pPr>
              <w:jc w:val="left"/>
              <w:rPr>
                <w:sz w:val="24"/>
                <w:szCs w:val="24"/>
              </w:rPr>
            </w:pPr>
            <w:r>
              <w:rPr>
                <w:sz w:val="24"/>
                <w:szCs w:val="24"/>
              </w:rPr>
              <w:t>交易概况（限200字内）</w:t>
            </w:r>
          </w:p>
        </w:tc>
        <w:tc>
          <w:tcPr>
            <w:tcW w:w="7075" w:type="dxa"/>
            <w:gridSpan w:val="2"/>
            <w:vAlign w:val="center"/>
          </w:tcPr>
          <w:p>
            <w:pPr>
              <w:jc w:val="left"/>
              <w:rPr>
                <w:sz w:val="24"/>
                <w:szCs w:val="24"/>
                <w:highlight w:val="yellow"/>
              </w:rPr>
            </w:pPr>
            <w:r>
              <w:rPr>
                <w:rFonts w:hint="eastAsia" w:eastAsia="宋体"/>
                <w:sz w:val="24"/>
                <w:szCs w:val="24"/>
              </w:rPr>
              <w:t>芜湖远大创业投资有限公司</w:t>
            </w:r>
            <w:r>
              <w:rPr>
                <w:rFonts w:hint="eastAsia" w:eastAsia="宋体"/>
                <w:sz w:val="24"/>
                <w:szCs w:val="24"/>
                <w:lang w:eastAsia="zh-CN"/>
              </w:rPr>
              <w:t>（</w:t>
            </w:r>
            <w:r>
              <w:rPr>
                <w:rFonts w:hint="eastAsia" w:eastAsia="宋体"/>
                <w:sz w:val="24"/>
                <w:szCs w:val="24"/>
                <w:lang w:val="en-US" w:eastAsia="zh-CN"/>
              </w:rPr>
              <w:t>“远大创投”</w:t>
            </w:r>
            <w:r>
              <w:rPr>
                <w:rFonts w:hint="eastAsia" w:eastAsia="宋体"/>
                <w:sz w:val="24"/>
                <w:szCs w:val="24"/>
                <w:lang w:eastAsia="zh-CN"/>
              </w:rPr>
              <w:t>）</w:t>
            </w:r>
            <w:r>
              <w:rPr>
                <w:rFonts w:hint="eastAsia" w:eastAsia="宋体"/>
                <w:sz w:val="24"/>
                <w:szCs w:val="24"/>
                <w:lang w:val="en-US" w:eastAsia="zh-CN"/>
              </w:rPr>
              <w:t>与</w:t>
            </w:r>
            <w:r>
              <w:rPr>
                <w:rFonts w:hint="eastAsia" w:eastAsia="宋体"/>
                <w:sz w:val="24"/>
                <w:szCs w:val="24"/>
              </w:rPr>
              <w:t>安徽神剑新材料股份有限公司</w:t>
            </w:r>
            <w:r>
              <w:rPr>
                <w:rFonts w:hint="eastAsia" w:eastAsia="宋体"/>
                <w:sz w:val="24"/>
                <w:szCs w:val="24"/>
                <w:lang w:eastAsia="zh-CN"/>
              </w:rPr>
              <w:t>（</w:t>
            </w:r>
            <w:r>
              <w:rPr>
                <w:rFonts w:hint="eastAsia" w:eastAsia="宋体"/>
                <w:sz w:val="24"/>
                <w:szCs w:val="24"/>
                <w:lang w:val="en-US" w:eastAsia="zh-CN"/>
              </w:rPr>
              <w:t>“神剑股份”</w:t>
            </w:r>
            <w:r>
              <w:rPr>
                <w:rFonts w:hint="eastAsia" w:eastAsia="宋体"/>
                <w:sz w:val="24"/>
                <w:szCs w:val="24"/>
                <w:lang w:eastAsia="zh-CN"/>
              </w:rPr>
              <w:t>）</w:t>
            </w:r>
            <w:r>
              <w:rPr>
                <w:rFonts w:hint="eastAsia" w:eastAsia="宋体"/>
                <w:sz w:val="24"/>
                <w:szCs w:val="24"/>
                <w:lang w:val="en-US" w:eastAsia="zh-CN"/>
              </w:rPr>
              <w:t>实际控制人刘志坚及其一致行动人刘琪、股东刘绍宏签署</w:t>
            </w:r>
            <w:r>
              <w:rPr>
                <w:rFonts w:hint="eastAsia"/>
                <w:sz w:val="24"/>
                <w:szCs w:val="24"/>
                <w:lang w:val="en-US" w:eastAsia="zh-CN"/>
              </w:rPr>
              <w:t>协议</w:t>
            </w:r>
            <w:r>
              <w:rPr>
                <w:rFonts w:hint="eastAsia" w:ascii="Times New Roman" w:hAnsi="Times New Roman" w:cs="Times New Roman"/>
                <w:sz w:val="24"/>
                <w:lang w:val="en-US" w:eastAsia="zh-CN"/>
              </w:rPr>
              <w:t>，收购神剑股份8.83%股权，并</w:t>
            </w:r>
            <w:r>
              <w:rPr>
                <w:rFonts w:hint="eastAsia" w:cs="Times New Roman"/>
                <w:sz w:val="24"/>
                <w:lang w:val="en-US" w:eastAsia="zh-CN"/>
              </w:rPr>
              <w:t>另行</w:t>
            </w:r>
            <w:r>
              <w:rPr>
                <w:rFonts w:hint="eastAsia" w:ascii="Times New Roman" w:hAnsi="Times New Roman" w:cs="Times New Roman"/>
                <w:sz w:val="24"/>
                <w:lang w:val="en-US" w:eastAsia="zh-CN"/>
              </w:rPr>
              <w:t>取得12.66%的表决权。神剑股份主要从事粉末涂料用热固性饱和聚酯树脂的研发、生产和销售。交易前，</w:t>
            </w:r>
            <w:r>
              <w:rPr>
                <w:rFonts w:hint="eastAsia"/>
                <w:sz w:val="24"/>
                <w:szCs w:val="24"/>
                <w:lang w:val="en-US" w:eastAsia="zh-CN"/>
              </w:rPr>
              <w:t>转让方</w:t>
            </w:r>
            <w:r>
              <w:rPr>
                <w:rFonts w:hint="eastAsia" w:eastAsia="宋体"/>
                <w:sz w:val="24"/>
                <w:szCs w:val="24"/>
                <w:lang w:val="en-US" w:eastAsia="zh-CN"/>
              </w:rPr>
              <w:t>持有神剑股份23.26%股权，刘志坚单独控制神剑股份。交易后，远大创投持有神剑股份8.33%股权</w:t>
            </w:r>
            <w:r>
              <w:rPr>
                <w:rFonts w:hint="eastAsia"/>
                <w:sz w:val="24"/>
                <w:szCs w:val="24"/>
                <w:lang w:val="en-US" w:eastAsia="zh-CN"/>
              </w:rPr>
              <w:t>并另行取得</w:t>
            </w:r>
            <w:r>
              <w:rPr>
                <w:rFonts w:hint="eastAsia" w:eastAsia="宋体"/>
                <w:sz w:val="24"/>
                <w:szCs w:val="24"/>
                <w:lang w:val="en-US" w:eastAsia="zh-CN"/>
              </w:rPr>
              <w:t>12.66%</w:t>
            </w:r>
            <w:r>
              <w:rPr>
                <w:rFonts w:hint="eastAsia"/>
                <w:sz w:val="24"/>
                <w:szCs w:val="24"/>
                <w:lang w:val="en-US" w:eastAsia="zh-CN"/>
              </w:rPr>
              <w:t>的</w:t>
            </w:r>
            <w:r>
              <w:rPr>
                <w:rFonts w:hint="eastAsia" w:eastAsia="宋体"/>
                <w:sz w:val="24"/>
                <w:szCs w:val="24"/>
                <w:lang w:val="en-US" w:eastAsia="zh-CN"/>
              </w:rPr>
              <w:t>表决权，</w:t>
            </w:r>
            <w:r>
              <w:rPr>
                <w:rFonts w:hint="eastAsia"/>
                <w:sz w:val="24"/>
                <w:szCs w:val="24"/>
                <w:lang w:val="en-US" w:eastAsia="zh-CN"/>
              </w:rPr>
              <w:t>合计控制20.99%的表决权，</w:t>
            </w:r>
            <w:r>
              <w:rPr>
                <w:rFonts w:hint="eastAsia" w:eastAsia="宋体"/>
                <w:sz w:val="24"/>
                <w:szCs w:val="24"/>
                <w:lang w:val="en-US" w:eastAsia="zh-CN"/>
              </w:rPr>
              <w:t>单独控制神剑股份。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8" w:hRule="atLeast"/>
        </w:trPr>
        <w:tc>
          <w:tcPr>
            <w:tcW w:w="1683" w:type="dxa"/>
            <w:vMerge w:val="restart"/>
            <w:shd w:val="clear" w:color="auto" w:fill="D9D9D9"/>
            <w:vAlign w:val="center"/>
          </w:tcPr>
          <w:p>
            <w:pPr>
              <w:jc w:val="left"/>
              <w:rPr>
                <w:sz w:val="24"/>
                <w:szCs w:val="24"/>
              </w:rPr>
            </w:pPr>
            <w:r>
              <w:rPr>
                <w:sz w:val="24"/>
                <w:szCs w:val="24"/>
              </w:rPr>
              <w:t>参与集中的经营者简介</w:t>
            </w:r>
          </w:p>
        </w:tc>
        <w:tc>
          <w:tcPr>
            <w:tcW w:w="1430" w:type="dxa"/>
            <w:vAlign w:val="center"/>
          </w:tcPr>
          <w:p>
            <w:pPr>
              <w:jc w:val="left"/>
              <w:rPr>
                <w:rFonts w:hint="default" w:eastAsia="宋体"/>
                <w:sz w:val="24"/>
                <w:szCs w:val="24"/>
                <w:lang w:val="en-US" w:eastAsia="zh-CN"/>
              </w:rPr>
            </w:pPr>
            <w:r>
              <w:rPr>
                <w:rFonts w:hint="eastAsia"/>
                <w:sz w:val="24"/>
                <w:szCs w:val="24"/>
              </w:rPr>
              <w:t>1、</w:t>
            </w:r>
            <w:r>
              <w:rPr>
                <w:rFonts w:hint="eastAsia"/>
                <w:sz w:val="24"/>
                <w:szCs w:val="24"/>
                <w:lang w:val="en-US" w:eastAsia="zh-CN"/>
              </w:rPr>
              <w:t>远大创投</w:t>
            </w:r>
          </w:p>
        </w:tc>
        <w:tc>
          <w:tcPr>
            <w:tcW w:w="5645" w:type="dxa"/>
            <w:vAlign w:val="center"/>
          </w:tcPr>
          <w:p>
            <w:pPr>
              <w:rPr>
                <w:sz w:val="24"/>
                <w:szCs w:val="24"/>
              </w:rPr>
            </w:pPr>
            <w:r>
              <w:rPr>
                <w:rFonts w:hint="eastAsia"/>
                <w:sz w:val="24"/>
                <w:szCs w:val="24"/>
                <w:lang w:val="en-US" w:eastAsia="zh-CN"/>
              </w:rPr>
              <w:t>远大创投</w:t>
            </w:r>
            <w:r>
              <w:rPr>
                <w:sz w:val="24"/>
                <w:szCs w:val="24"/>
              </w:rPr>
              <w:t>于</w:t>
            </w:r>
            <w:r>
              <w:rPr>
                <w:rFonts w:hint="eastAsia"/>
                <w:sz w:val="24"/>
                <w:szCs w:val="24"/>
                <w:lang w:val="en-US" w:eastAsia="zh-CN"/>
              </w:rPr>
              <w:t>2009</w:t>
            </w:r>
            <w:r>
              <w:rPr>
                <w:sz w:val="24"/>
                <w:szCs w:val="24"/>
              </w:rPr>
              <w:t>年</w:t>
            </w:r>
            <w:r>
              <w:rPr>
                <w:rFonts w:hint="eastAsia"/>
                <w:sz w:val="24"/>
                <w:szCs w:val="24"/>
                <w:lang w:val="en-US" w:eastAsia="zh-CN"/>
              </w:rPr>
              <w:t>4</w:t>
            </w:r>
            <w:r>
              <w:rPr>
                <w:sz w:val="24"/>
                <w:szCs w:val="24"/>
              </w:rPr>
              <w:t>月</w:t>
            </w:r>
            <w:r>
              <w:rPr>
                <w:rFonts w:hint="eastAsia"/>
                <w:sz w:val="24"/>
                <w:szCs w:val="24"/>
                <w:lang w:val="en-US" w:eastAsia="zh-CN"/>
              </w:rPr>
              <w:t>23</w:t>
            </w:r>
            <w:r>
              <w:rPr>
                <w:sz w:val="24"/>
                <w:szCs w:val="24"/>
              </w:rPr>
              <w:t>日成立于安徽省</w:t>
            </w:r>
            <w:r>
              <w:rPr>
                <w:rFonts w:hint="eastAsia"/>
                <w:sz w:val="24"/>
                <w:szCs w:val="24"/>
                <w:lang w:val="en-US" w:eastAsia="zh-CN"/>
              </w:rPr>
              <w:t>芜湖市</w:t>
            </w:r>
            <w:r>
              <w:rPr>
                <w:sz w:val="24"/>
                <w:szCs w:val="24"/>
              </w:rPr>
              <w:t>，</w:t>
            </w:r>
            <w:r>
              <w:rPr>
                <w:rFonts w:hint="eastAsia"/>
                <w:sz w:val="24"/>
                <w:szCs w:val="24"/>
                <w:lang w:val="en-US" w:eastAsia="zh-CN"/>
              </w:rPr>
              <w:t>主要业务为对</w:t>
            </w:r>
            <w:r>
              <w:rPr>
                <w:rFonts w:hint="eastAsia" w:ascii="Times New Roman" w:hAnsi="Times New Roman" w:eastAsia="宋体" w:cs="Times New Roman"/>
                <w:color w:val="000000"/>
                <w:sz w:val="24"/>
                <w:lang w:val="en-US" w:eastAsia="zh-CN"/>
              </w:rPr>
              <w:t>包括高新技术企业、自主创新企业、中小科技型企业等企业的股权投资</w:t>
            </w:r>
            <w:r>
              <w:rPr>
                <w:rFonts w:hint="eastAsia"/>
                <w:sz w:val="24"/>
                <w:szCs w:val="24"/>
              </w:rPr>
              <w:t>。</w:t>
            </w:r>
          </w:p>
          <w:p>
            <w:pPr>
              <w:rPr>
                <w:rFonts w:hint="eastAsia"/>
                <w:sz w:val="24"/>
                <w:szCs w:val="24"/>
              </w:rPr>
            </w:pPr>
            <w:r>
              <w:rPr>
                <w:rFonts w:hint="eastAsia"/>
                <w:sz w:val="24"/>
                <w:szCs w:val="24"/>
                <w:lang w:val="en-US" w:eastAsia="zh-CN"/>
              </w:rPr>
              <w:t>远大创投</w:t>
            </w:r>
            <w:r>
              <w:rPr>
                <w:rFonts w:hint="eastAsia"/>
                <w:sz w:val="24"/>
                <w:szCs w:val="24"/>
              </w:rPr>
              <w:t>的最终控制人为</w:t>
            </w:r>
            <w:r>
              <w:rPr>
                <w:rFonts w:hint="eastAsia" w:ascii="Times New Roman" w:hAnsi="Times New Roman" w:eastAsia="宋体" w:cs="Times New Roman"/>
                <w:color w:val="000000"/>
                <w:sz w:val="24"/>
                <w:lang w:val="en-US" w:eastAsia="zh-CN"/>
              </w:rPr>
              <w:t>芜湖市投资控股集团有限公司</w:t>
            </w:r>
            <w:r>
              <w:rPr>
                <w:rFonts w:hint="eastAsia"/>
                <w:sz w:val="24"/>
                <w:szCs w:val="24"/>
              </w:rPr>
              <w:t>，</w:t>
            </w:r>
            <w:r>
              <w:rPr>
                <w:rFonts w:hint="eastAsia"/>
                <w:sz w:val="24"/>
                <w:szCs w:val="24"/>
                <w:lang w:val="en-US" w:eastAsia="zh-CN"/>
              </w:rPr>
              <w:t>主要业务为</w:t>
            </w:r>
            <w:r>
              <w:rPr>
                <w:rFonts w:hint="eastAsia" w:ascii="Times New Roman" w:hAnsi="Times New Roman" w:eastAsia="宋体" w:cs="Times New Roman"/>
                <w:color w:val="000000"/>
                <w:sz w:val="24"/>
                <w:lang w:val="en-US" w:eastAsia="zh-CN"/>
              </w:rPr>
              <w:t>股权投资、资产管理、工程管理、机器人研发制造、汽车零部件生产销售等</w:t>
            </w: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683" w:type="dxa"/>
            <w:vMerge w:val="continue"/>
            <w:shd w:val="clear" w:color="auto" w:fill="D9D9D9"/>
            <w:vAlign w:val="center"/>
          </w:tcPr>
          <w:p>
            <w:pPr>
              <w:jc w:val="left"/>
              <w:rPr>
                <w:sz w:val="24"/>
                <w:szCs w:val="24"/>
              </w:rPr>
            </w:pPr>
          </w:p>
        </w:tc>
        <w:tc>
          <w:tcPr>
            <w:tcW w:w="1430" w:type="dxa"/>
            <w:vAlign w:val="center"/>
          </w:tcPr>
          <w:p>
            <w:pPr>
              <w:jc w:val="left"/>
              <w:rPr>
                <w:rFonts w:hint="default" w:eastAsia="宋体"/>
                <w:sz w:val="24"/>
                <w:szCs w:val="24"/>
                <w:lang w:val="en-US" w:eastAsia="zh-CN"/>
              </w:rPr>
            </w:pPr>
            <w:r>
              <w:rPr>
                <w:rFonts w:hint="eastAsia"/>
                <w:sz w:val="24"/>
                <w:szCs w:val="24"/>
              </w:rPr>
              <w:t>2</w:t>
            </w:r>
            <w:r>
              <w:rPr>
                <w:sz w:val="24"/>
                <w:szCs w:val="24"/>
              </w:rPr>
              <w:t>、</w:t>
            </w:r>
            <w:r>
              <w:rPr>
                <w:rFonts w:hint="eastAsia"/>
                <w:sz w:val="24"/>
                <w:szCs w:val="24"/>
                <w:lang w:val="en-US" w:eastAsia="zh-CN"/>
              </w:rPr>
              <w:t>神剑股份</w:t>
            </w:r>
          </w:p>
        </w:tc>
        <w:tc>
          <w:tcPr>
            <w:tcW w:w="5645" w:type="dxa"/>
            <w:vAlign w:val="center"/>
          </w:tcPr>
          <w:p>
            <w:pPr>
              <w:jc w:val="left"/>
              <w:rPr>
                <w:sz w:val="24"/>
                <w:szCs w:val="24"/>
              </w:rPr>
            </w:pPr>
            <w:r>
              <w:rPr>
                <w:rFonts w:hint="eastAsia"/>
                <w:sz w:val="24"/>
                <w:szCs w:val="24"/>
                <w:lang w:val="en-US" w:eastAsia="zh-CN"/>
              </w:rPr>
              <w:t>神剑股份</w:t>
            </w:r>
            <w:r>
              <w:rPr>
                <w:sz w:val="24"/>
                <w:szCs w:val="24"/>
              </w:rPr>
              <w:t>于</w:t>
            </w:r>
            <w:r>
              <w:rPr>
                <w:rFonts w:hint="eastAsia"/>
                <w:sz w:val="24"/>
                <w:szCs w:val="24"/>
              </w:rPr>
              <w:t>20</w:t>
            </w:r>
            <w:r>
              <w:rPr>
                <w:rFonts w:hint="eastAsia"/>
                <w:sz w:val="24"/>
                <w:szCs w:val="24"/>
                <w:lang w:val="en-US" w:eastAsia="zh-CN"/>
              </w:rPr>
              <w:t>02</w:t>
            </w:r>
            <w:r>
              <w:rPr>
                <w:sz w:val="24"/>
                <w:szCs w:val="24"/>
              </w:rPr>
              <w:t>年</w:t>
            </w:r>
            <w:r>
              <w:rPr>
                <w:rFonts w:hint="eastAsia"/>
                <w:sz w:val="24"/>
                <w:szCs w:val="24"/>
                <w:lang w:val="en-US" w:eastAsia="zh-CN"/>
              </w:rPr>
              <w:t>4</w:t>
            </w:r>
            <w:r>
              <w:rPr>
                <w:sz w:val="24"/>
                <w:szCs w:val="24"/>
              </w:rPr>
              <w:t>月</w:t>
            </w:r>
            <w:r>
              <w:rPr>
                <w:rFonts w:hint="eastAsia"/>
                <w:sz w:val="24"/>
                <w:szCs w:val="24"/>
              </w:rPr>
              <w:t>1</w:t>
            </w:r>
            <w:r>
              <w:rPr>
                <w:rFonts w:hint="eastAsia"/>
                <w:sz w:val="24"/>
                <w:szCs w:val="24"/>
                <w:lang w:val="en-US" w:eastAsia="zh-CN"/>
              </w:rPr>
              <w:t>8</w:t>
            </w:r>
            <w:r>
              <w:rPr>
                <w:sz w:val="24"/>
                <w:szCs w:val="24"/>
              </w:rPr>
              <w:t>日成立于</w:t>
            </w:r>
            <w:r>
              <w:rPr>
                <w:rFonts w:hint="eastAsia"/>
                <w:sz w:val="24"/>
                <w:szCs w:val="24"/>
                <w:lang w:val="en-US" w:eastAsia="zh-CN"/>
              </w:rPr>
              <w:t>安徽</w:t>
            </w:r>
            <w:r>
              <w:rPr>
                <w:sz w:val="24"/>
                <w:szCs w:val="24"/>
              </w:rPr>
              <w:t>省</w:t>
            </w:r>
            <w:r>
              <w:rPr>
                <w:rFonts w:hint="eastAsia"/>
                <w:sz w:val="24"/>
                <w:szCs w:val="24"/>
                <w:lang w:val="en-US" w:eastAsia="zh-CN"/>
              </w:rPr>
              <w:t>芜湖市</w:t>
            </w:r>
            <w:r>
              <w:rPr>
                <w:rFonts w:hint="eastAsia"/>
                <w:sz w:val="24"/>
                <w:szCs w:val="24"/>
              </w:rPr>
              <w:t>，</w:t>
            </w:r>
          </w:p>
          <w:p>
            <w:pPr>
              <w:jc w:val="left"/>
              <w:rPr>
                <w:sz w:val="24"/>
                <w:szCs w:val="24"/>
              </w:rPr>
            </w:pPr>
            <w:r>
              <w:rPr>
                <w:rFonts w:hint="eastAsia"/>
                <w:sz w:val="24"/>
                <w:szCs w:val="24"/>
                <w:lang w:val="en-US" w:eastAsia="zh-CN"/>
              </w:rPr>
              <w:t>主要业务为</w:t>
            </w:r>
            <w:r>
              <w:rPr>
                <w:rFonts w:hint="eastAsia" w:ascii="Times New Roman" w:hAnsi="Times New Roman" w:cs="Times New Roman"/>
                <w:sz w:val="24"/>
                <w:lang w:val="en-US" w:eastAsia="zh-CN"/>
              </w:rPr>
              <w:t>粉末涂料用热固性饱和聚酯树脂的研发、生产和销售</w:t>
            </w:r>
            <w:r>
              <w:rPr>
                <w:rFonts w:hint="eastAsia"/>
                <w:sz w:val="24"/>
                <w:szCs w:val="24"/>
              </w:rPr>
              <w:t>。</w:t>
            </w:r>
          </w:p>
          <w:p>
            <w:pPr>
              <w:jc w:val="left"/>
              <w:rPr>
                <w:rFonts w:hint="eastAsia"/>
                <w:sz w:val="24"/>
                <w:szCs w:val="24"/>
              </w:rPr>
            </w:pPr>
            <w:r>
              <w:rPr>
                <w:rFonts w:hint="eastAsia"/>
                <w:sz w:val="24"/>
                <w:szCs w:val="24"/>
                <w:lang w:val="en-US" w:eastAsia="zh-CN"/>
              </w:rPr>
              <w:t>神剑股份</w:t>
            </w:r>
            <w:r>
              <w:rPr>
                <w:rFonts w:hint="eastAsia"/>
                <w:sz w:val="24"/>
                <w:szCs w:val="24"/>
              </w:rPr>
              <w:t>的最终控制人</w:t>
            </w:r>
            <w:r>
              <w:rPr>
                <w:rFonts w:hint="eastAsia"/>
                <w:sz w:val="24"/>
                <w:szCs w:val="24"/>
                <w:lang w:val="en-US" w:eastAsia="zh-CN"/>
              </w:rPr>
              <w:t>为自然人</w:t>
            </w:r>
            <w:r>
              <w:rPr>
                <w:rFonts w:hint="eastAsia"/>
                <w:sz w:val="24"/>
                <w:szCs w:val="24"/>
                <w:lang w:eastAsia="zh-CN"/>
              </w:rPr>
              <w:t>，</w:t>
            </w:r>
            <w:r>
              <w:rPr>
                <w:rFonts w:hint="eastAsia"/>
                <w:sz w:val="24"/>
                <w:szCs w:val="24"/>
                <w:lang w:val="en-US" w:eastAsia="zh-CN"/>
              </w:rPr>
              <w:t>主要业务为对从事</w:t>
            </w:r>
            <w:r>
              <w:rPr>
                <w:rFonts w:hint="eastAsia" w:ascii="Times New Roman" w:hAnsi="Times New Roman" w:cs="Times New Roman"/>
                <w:sz w:val="24"/>
                <w:lang w:val="en-US" w:eastAsia="zh-CN"/>
              </w:rPr>
              <w:t>粉末涂料用热固性饱和聚酯树脂的研发、生产和销售业务公司的经营、管理</w:t>
            </w: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683" w:type="dxa"/>
            <w:vMerge w:val="restart"/>
            <w:shd w:val="clear" w:color="auto" w:fill="D9D9D9"/>
            <w:vAlign w:val="center"/>
          </w:tcPr>
          <w:p>
            <w:pPr>
              <w:jc w:val="left"/>
              <w:rPr>
                <w:sz w:val="24"/>
                <w:szCs w:val="24"/>
              </w:rPr>
            </w:pPr>
            <w:r>
              <w:rPr>
                <w:sz w:val="24"/>
                <w:szCs w:val="24"/>
              </w:rPr>
              <w:t>简易案件理由（可以单选，也可以多选）</w:t>
            </w:r>
          </w:p>
        </w:tc>
        <w:tc>
          <w:tcPr>
            <w:tcW w:w="7075" w:type="dxa"/>
            <w:gridSpan w:val="2"/>
            <w:vAlign w:val="center"/>
          </w:tcPr>
          <w:p>
            <w:pPr>
              <w:jc w:val="left"/>
              <w:rPr>
                <w:sz w:val="24"/>
                <w:szCs w:val="24"/>
              </w:rPr>
            </w:pPr>
            <w:r>
              <w:rPr>
                <w:rFonts w:hint="eastAsia"/>
                <w:sz w:val="24"/>
                <w:szCs w:val="24"/>
              </w:rPr>
              <w:sym w:font="Wingdings 2" w:char="00A3"/>
            </w:r>
            <w:r>
              <w:rPr>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683" w:type="dxa"/>
            <w:vMerge w:val="continue"/>
            <w:shd w:val="clear" w:color="auto" w:fill="D9D9D9"/>
            <w:vAlign w:val="center"/>
          </w:tcPr>
          <w:p>
            <w:pPr>
              <w:jc w:val="left"/>
              <w:rPr>
                <w:sz w:val="24"/>
                <w:szCs w:val="24"/>
              </w:rPr>
            </w:pPr>
          </w:p>
        </w:tc>
        <w:tc>
          <w:tcPr>
            <w:tcW w:w="7075" w:type="dxa"/>
            <w:gridSpan w:val="2"/>
            <w:vAlign w:val="center"/>
          </w:tcPr>
          <w:p>
            <w:pPr>
              <w:jc w:val="left"/>
              <w:rPr>
                <w:sz w:val="24"/>
                <w:szCs w:val="24"/>
              </w:rPr>
            </w:pPr>
            <w:r>
              <w:rPr>
                <w:rFonts w:hint="eastAsia"/>
                <w:sz w:val="24"/>
                <w:szCs w:val="24"/>
              </w:rPr>
              <w:t>□</w:t>
            </w:r>
            <w:r>
              <w:rPr>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83" w:type="dxa"/>
            <w:vMerge w:val="continue"/>
            <w:shd w:val="clear" w:color="auto" w:fill="D9D9D9"/>
            <w:vAlign w:val="center"/>
          </w:tcPr>
          <w:p>
            <w:pPr>
              <w:jc w:val="left"/>
              <w:rPr>
                <w:sz w:val="24"/>
                <w:szCs w:val="24"/>
              </w:rPr>
            </w:pPr>
          </w:p>
        </w:tc>
        <w:tc>
          <w:tcPr>
            <w:tcW w:w="7075" w:type="dxa"/>
            <w:gridSpan w:val="2"/>
            <w:vAlign w:val="center"/>
          </w:tcPr>
          <w:p>
            <w:pPr>
              <w:jc w:val="left"/>
              <w:rPr>
                <w:sz w:val="24"/>
                <w:szCs w:val="24"/>
              </w:rPr>
            </w:pPr>
            <w:r>
              <w:rPr>
                <w:rFonts w:hint="eastAsia"/>
                <w:sz w:val="24"/>
                <w:szCs w:val="24"/>
              </w:rPr>
              <w:sym w:font="Wingdings 2" w:char="0052"/>
            </w:r>
            <w:r>
              <w:rPr>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683" w:type="dxa"/>
            <w:vMerge w:val="continue"/>
            <w:shd w:val="clear" w:color="auto" w:fill="D9D9D9"/>
            <w:vAlign w:val="center"/>
          </w:tcPr>
          <w:p>
            <w:pPr>
              <w:jc w:val="left"/>
              <w:rPr>
                <w:sz w:val="24"/>
                <w:szCs w:val="24"/>
              </w:rPr>
            </w:pPr>
          </w:p>
        </w:tc>
        <w:tc>
          <w:tcPr>
            <w:tcW w:w="7075" w:type="dxa"/>
            <w:gridSpan w:val="2"/>
            <w:vAlign w:val="center"/>
          </w:tcPr>
          <w:p>
            <w:pPr>
              <w:jc w:val="left"/>
              <w:rPr>
                <w:sz w:val="24"/>
                <w:szCs w:val="24"/>
              </w:rPr>
            </w:pPr>
            <w:r>
              <w:rPr>
                <w:rFonts w:hint="eastAsia"/>
                <w:sz w:val="24"/>
                <w:szCs w:val="24"/>
              </w:rPr>
              <w:t>□</w:t>
            </w:r>
            <w:r>
              <w:rPr>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683" w:type="dxa"/>
            <w:vMerge w:val="continue"/>
            <w:shd w:val="clear" w:color="auto" w:fill="D9D9D9"/>
            <w:vAlign w:val="center"/>
          </w:tcPr>
          <w:p>
            <w:pPr>
              <w:jc w:val="left"/>
              <w:rPr>
                <w:sz w:val="24"/>
                <w:szCs w:val="24"/>
              </w:rPr>
            </w:pPr>
          </w:p>
        </w:tc>
        <w:tc>
          <w:tcPr>
            <w:tcW w:w="7075" w:type="dxa"/>
            <w:gridSpan w:val="2"/>
            <w:vAlign w:val="center"/>
          </w:tcPr>
          <w:p>
            <w:pPr>
              <w:jc w:val="left"/>
              <w:rPr>
                <w:sz w:val="24"/>
                <w:szCs w:val="24"/>
              </w:rPr>
            </w:pPr>
            <w:r>
              <w:rPr>
                <w:rFonts w:hint="eastAsia"/>
                <w:sz w:val="24"/>
                <w:szCs w:val="24"/>
              </w:rPr>
              <w:t>□</w:t>
            </w:r>
            <w:r>
              <w:rPr>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683" w:type="dxa"/>
            <w:vMerge w:val="continue"/>
            <w:shd w:val="clear" w:color="auto" w:fill="D9D9D9"/>
            <w:vAlign w:val="center"/>
          </w:tcPr>
          <w:p>
            <w:pPr>
              <w:jc w:val="left"/>
              <w:rPr>
                <w:sz w:val="24"/>
                <w:szCs w:val="24"/>
              </w:rPr>
            </w:pPr>
          </w:p>
        </w:tc>
        <w:tc>
          <w:tcPr>
            <w:tcW w:w="7075" w:type="dxa"/>
            <w:gridSpan w:val="2"/>
            <w:vAlign w:val="center"/>
          </w:tcPr>
          <w:p>
            <w:pPr>
              <w:jc w:val="left"/>
              <w:rPr>
                <w:sz w:val="24"/>
                <w:szCs w:val="24"/>
              </w:rPr>
            </w:pPr>
            <w:r>
              <w:rPr>
                <w:rFonts w:hint="eastAsia"/>
                <w:sz w:val="24"/>
                <w:szCs w:val="24"/>
              </w:rPr>
              <w:t>□</w:t>
            </w:r>
            <w:r>
              <w:rPr>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3" w:hRule="atLeast"/>
        </w:trPr>
        <w:tc>
          <w:tcPr>
            <w:tcW w:w="1683" w:type="dxa"/>
            <w:shd w:val="clear" w:color="auto" w:fill="D9D9D9"/>
            <w:vAlign w:val="center"/>
          </w:tcPr>
          <w:p>
            <w:pPr>
              <w:jc w:val="left"/>
              <w:rPr>
                <w:sz w:val="24"/>
                <w:szCs w:val="24"/>
              </w:rPr>
            </w:pPr>
            <w:r>
              <w:rPr>
                <w:sz w:val="24"/>
                <w:szCs w:val="24"/>
              </w:rPr>
              <w:t>备注</w:t>
            </w:r>
          </w:p>
        </w:tc>
        <w:tc>
          <w:tcPr>
            <w:tcW w:w="7075" w:type="dxa"/>
            <w:gridSpan w:val="2"/>
            <w:vAlign w:val="center"/>
          </w:tcPr>
          <w:p>
            <w:pPr>
              <w:jc w:val="left"/>
              <w:rPr>
                <w:b/>
                <w:bCs/>
                <w:sz w:val="24"/>
                <w:szCs w:val="24"/>
              </w:rPr>
            </w:pPr>
            <w:r>
              <w:rPr>
                <w:rFonts w:hint="eastAsia"/>
                <w:b/>
                <w:bCs/>
                <w:sz w:val="24"/>
                <w:szCs w:val="24"/>
                <w:lang w:val="en-US" w:eastAsia="zh-CN"/>
              </w:rPr>
              <w:t>混合集中</w:t>
            </w:r>
            <w:r>
              <w:rPr>
                <w:rFonts w:hint="eastAsia"/>
                <w:b/>
                <w:bCs/>
                <w:sz w:val="24"/>
                <w:szCs w:val="24"/>
              </w:rPr>
              <w:t>：</w:t>
            </w:r>
          </w:p>
          <w:p>
            <w:pPr>
              <w:rPr>
                <w:rFonts w:hint="eastAsia" w:eastAsia="宋体"/>
                <w:sz w:val="24"/>
                <w:szCs w:val="24"/>
                <w:lang w:eastAsia="zh-CN"/>
              </w:rPr>
            </w:pPr>
            <w:r>
              <w:rPr>
                <w:rFonts w:hint="eastAsia"/>
                <w:sz w:val="24"/>
                <w:szCs w:val="24"/>
              </w:rPr>
              <w:t>2023年</w:t>
            </w:r>
            <w:r>
              <w:rPr>
                <w:sz w:val="24"/>
                <w:szCs w:val="24"/>
              </w:rPr>
              <w:t>中国境内</w:t>
            </w:r>
            <w:r>
              <w:rPr>
                <w:rFonts w:hint="eastAsia" w:ascii="Times New Roman" w:hAnsi="Times New Roman" w:cs="Times New Roman"/>
                <w:sz w:val="24"/>
                <w:lang w:val="en-US" w:eastAsia="zh-CN"/>
              </w:rPr>
              <w:t>粉末涂料用热固性饱和聚酯树脂</w:t>
            </w:r>
            <w:r>
              <w:rPr>
                <w:sz w:val="24"/>
                <w:szCs w:val="24"/>
              </w:rPr>
              <w:t>市场</w:t>
            </w:r>
            <w:r>
              <w:rPr>
                <w:rFonts w:hint="eastAsia"/>
                <w:sz w:val="24"/>
                <w:szCs w:val="24"/>
                <w:lang w:eastAsia="zh-CN"/>
              </w:rPr>
              <w:t>：</w:t>
            </w:r>
            <w:bookmarkStart w:id="0" w:name="_GoBack"/>
            <w:bookmarkEnd w:id="0"/>
          </w:p>
          <w:p>
            <w:pPr>
              <w:rPr>
                <w:rFonts w:hint="eastAsia"/>
                <w:sz w:val="24"/>
                <w:szCs w:val="24"/>
              </w:rPr>
            </w:pPr>
            <w:r>
              <w:rPr>
                <w:rFonts w:hint="eastAsia"/>
                <w:sz w:val="24"/>
                <w:szCs w:val="24"/>
                <w:lang w:val="en-US" w:eastAsia="zh-CN"/>
              </w:rPr>
              <w:t>神剑股份</w:t>
            </w:r>
            <w:r>
              <w:rPr>
                <w:rFonts w:hint="eastAsia"/>
                <w:sz w:val="24"/>
                <w:szCs w:val="24"/>
              </w:rPr>
              <w:t>：</w:t>
            </w:r>
            <w:r>
              <w:rPr>
                <w:rFonts w:hint="eastAsia"/>
                <w:sz w:val="24"/>
                <w:szCs w:val="24"/>
                <w:lang w:val="en-US" w:eastAsia="zh-CN"/>
              </w:rPr>
              <w:t>16</w:t>
            </w:r>
            <w:r>
              <w:rPr>
                <w:rFonts w:hint="eastAsia"/>
                <w:sz w:val="24"/>
                <w:szCs w:val="24"/>
              </w:rPr>
              <w:t>-</w:t>
            </w:r>
            <w:r>
              <w:rPr>
                <w:rFonts w:hint="eastAsia"/>
                <w:sz w:val="24"/>
                <w:szCs w:val="24"/>
                <w:lang w:val="en-US" w:eastAsia="zh-CN"/>
              </w:rPr>
              <w:t>20</w:t>
            </w:r>
            <w:r>
              <w:rPr>
                <w:sz w:val="24"/>
                <w:szCs w:val="24"/>
              </w:rPr>
              <w:t>%</w:t>
            </w:r>
          </w:p>
        </w:tc>
      </w:tr>
    </w:tbl>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Wingdings 2">
    <w:panose1 w:val="05020102010507070707"/>
    <w:charset w:val="02"/>
    <w:family w:val="roman"/>
    <w:pitch w:val="default"/>
    <w:sig w:usb0="00000000" w:usb1="00000000" w:usb2="00000000" w:usb3="00000000" w:csb0="80000000"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NotDisplayPageBoundaries w:val="true"/>
  <w:doNotTrackMoves/>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jQwNjNhMWE2ZjQ1NGMwZDk0OTMyNzczNmNkMTZlZDQifQ=="/>
    <w:docVar w:name="KSO_WPS_MARK_KEY" w:val="9038a897-ca3b-4b72-b59a-40db07644776"/>
  </w:docVars>
  <w:rsids>
    <w:rsidRoot w:val="00094095"/>
    <w:rsid w:val="00000A45"/>
    <w:rsid w:val="000144AF"/>
    <w:rsid w:val="00035AFE"/>
    <w:rsid w:val="00045197"/>
    <w:rsid w:val="00046090"/>
    <w:rsid w:val="00055FE5"/>
    <w:rsid w:val="00094095"/>
    <w:rsid w:val="00097D9D"/>
    <w:rsid w:val="000A2E32"/>
    <w:rsid w:val="000B06AF"/>
    <w:rsid w:val="000B5625"/>
    <w:rsid w:val="000C569B"/>
    <w:rsid w:val="000D26DF"/>
    <w:rsid w:val="000D4D6D"/>
    <w:rsid w:val="000E7ABB"/>
    <w:rsid w:val="00105003"/>
    <w:rsid w:val="00123F96"/>
    <w:rsid w:val="00130233"/>
    <w:rsid w:val="00164256"/>
    <w:rsid w:val="001778CC"/>
    <w:rsid w:val="00183679"/>
    <w:rsid w:val="001A622F"/>
    <w:rsid w:val="001C7239"/>
    <w:rsid w:val="001D6CDE"/>
    <w:rsid w:val="001E3E93"/>
    <w:rsid w:val="0021113B"/>
    <w:rsid w:val="00245776"/>
    <w:rsid w:val="002508F3"/>
    <w:rsid w:val="00262690"/>
    <w:rsid w:val="00264574"/>
    <w:rsid w:val="00275312"/>
    <w:rsid w:val="002A4460"/>
    <w:rsid w:val="002A45E2"/>
    <w:rsid w:val="002C19F0"/>
    <w:rsid w:val="002C64C3"/>
    <w:rsid w:val="002C7656"/>
    <w:rsid w:val="002E3385"/>
    <w:rsid w:val="002F2D60"/>
    <w:rsid w:val="002F335B"/>
    <w:rsid w:val="00307976"/>
    <w:rsid w:val="0032349F"/>
    <w:rsid w:val="00333660"/>
    <w:rsid w:val="00386CF1"/>
    <w:rsid w:val="00390015"/>
    <w:rsid w:val="00391546"/>
    <w:rsid w:val="00396AE7"/>
    <w:rsid w:val="003D7455"/>
    <w:rsid w:val="003E79EC"/>
    <w:rsid w:val="004456EC"/>
    <w:rsid w:val="004506FA"/>
    <w:rsid w:val="0046029B"/>
    <w:rsid w:val="00462174"/>
    <w:rsid w:val="00473E49"/>
    <w:rsid w:val="00474749"/>
    <w:rsid w:val="004B1481"/>
    <w:rsid w:val="004D48EC"/>
    <w:rsid w:val="004E4274"/>
    <w:rsid w:val="004E5555"/>
    <w:rsid w:val="004E7257"/>
    <w:rsid w:val="005100C7"/>
    <w:rsid w:val="0051185A"/>
    <w:rsid w:val="0052034C"/>
    <w:rsid w:val="00522F9B"/>
    <w:rsid w:val="005605C1"/>
    <w:rsid w:val="00585D93"/>
    <w:rsid w:val="005A0339"/>
    <w:rsid w:val="005A051D"/>
    <w:rsid w:val="005C590C"/>
    <w:rsid w:val="005F167B"/>
    <w:rsid w:val="006327F1"/>
    <w:rsid w:val="006652F3"/>
    <w:rsid w:val="00667E69"/>
    <w:rsid w:val="00677E3A"/>
    <w:rsid w:val="00677ED4"/>
    <w:rsid w:val="00683F50"/>
    <w:rsid w:val="006914EC"/>
    <w:rsid w:val="006A39F1"/>
    <w:rsid w:val="006B2E6C"/>
    <w:rsid w:val="006D3D5B"/>
    <w:rsid w:val="006F5E73"/>
    <w:rsid w:val="00712E8F"/>
    <w:rsid w:val="00727E30"/>
    <w:rsid w:val="00731DD4"/>
    <w:rsid w:val="0074209E"/>
    <w:rsid w:val="007435D0"/>
    <w:rsid w:val="007631EF"/>
    <w:rsid w:val="00780A9E"/>
    <w:rsid w:val="007A1F10"/>
    <w:rsid w:val="007C2F08"/>
    <w:rsid w:val="007C3068"/>
    <w:rsid w:val="007D7501"/>
    <w:rsid w:val="007E2595"/>
    <w:rsid w:val="007E7095"/>
    <w:rsid w:val="007E72E5"/>
    <w:rsid w:val="007E73E2"/>
    <w:rsid w:val="007E7D0C"/>
    <w:rsid w:val="007F13CC"/>
    <w:rsid w:val="007F16FD"/>
    <w:rsid w:val="007F562E"/>
    <w:rsid w:val="007F6247"/>
    <w:rsid w:val="00826E6B"/>
    <w:rsid w:val="00835E18"/>
    <w:rsid w:val="00837DC5"/>
    <w:rsid w:val="00840066"/>
    <w:rsid w:val="008404DF"/>
    <w:rsid w:val="008900EB"/>
    <w:rsid w:val="00897D92"/>
    <w:rsid w:val="008A6E7A"/>
    <w:rsid w:val="008B050D"/>
    <w:rsid w:val="008B6C2F"/>
    <w:rsid w:val="008C5391"/>
    <w:rsid w:val="008D18F0"/>
    <w:rsid w:val="008E469D"/>
    <w:rsid w:val="008F7C10"/>
    <w:rsid w:val="0090114C"/>
    <w:rsid w:val="00904CB7"/>
    <w:rsid w:val="0092503C"/>
    <w:rsid w:val="0094175D"/>
    <w:rsid w:val="00984130"/>
    <w:rsid w:val="00993BF4"/>
    <w:rsid w:val="00996818"/>
    <w:rsid w:val="009B2626"/>
    <w:rsid w:val="009D06A8"/>
    <w:rsid w:val="009D3D2B"/>
    <w:rsid w:val="009E5DA3"/>
    <w:rsid w:val="009F17D6"/>
    <w:rsid w:val="009F7886"/>
    <w:rsid w:val="00A04FED"/>
    <w:rsid w:val="00A230D6"/>
    <w:rsid w:val="00A25966"/>
    <w:rsid w:val="00A40F8F"/>
    <w:rsid w:val="00A520BD"/>
    <w:rsid w:val="00A90A90"/>
    <w:rsid w:val="00A914D9"/>
    <w:rsid w:val="00AB0806"/>
    <w:rsid w:val="00AB42FC"/>
    <w:rsid w:val="00AD65E4"/>
    <w:rsid w:val="00AF458F"/>
    <w:rsid w:val="00B163FA"/>
    <w:rsid w:val="00B20089"/>
    <w:rsid w:val="00B2283E"/>
    <w:rsid w:val="00B23CC2"/>
    <w:rsid w:val="00B371EE"/>
    <w:rsid w:val="00B43294"/>
    <w:rsid w:val="00B521E3"/>
    <w:rsid w:val="00B54BDA"/>
    <w:rsid w:val="00B616E1"/>
    <w:rsid w:val="00B90473"/>
    <w:rsid w:val="00BA0750"/>
    <w:rsid w:val="00BB1D01"/>
    <w:rsid w:val="00BB2377"/>
    <w:rsid w:val="00BE3DCD"/>
    <w:rsid w:val="00C04F5A"/>
    <w:rsid w:val="00C27460"/>
    <w:rsid w:val="00C45C3B"/>
    <w:rsid w:val="00C54EF0"/>
    <w:rsid w:val="00C574ED"/>
    <w:rsid w:val="00C77B54"/>
    <w:rsid w:val="00C81BB0"/>
    <w:rsid w:val="00C84E29"/>
    <w:rsid w:val="00C9068E"/>
    <w:rsid w:val="00C93C0C"/>
    <w:rsid w:val="00C96ECA"/>
    <w:rsid w:val="00CB028D"/>
    <w:rsid w:val="00CB3BDA"/>
    <w:rsid w:val="00CB57E1"/>
    <w:rsid w:val="00CB5AF7"/>
    <w:rsid w:val="00CC6142"/>
    <w:rsid w:val="00CC6AB4"/>
    <w:rsid w:val="00CC7F54"/>
    <w:rsid w:val="00CD13A7"/>
    <w:rsid w:val="00CD4CF5"/>
    <w:rsid w:val="00CE2824"/>
    <w:rsid w:val="00CF4448"/>
    <w:rsid w:val="00D00891"/>
    <w:rsid w:val="00D05416"/>
    <w:rsid w:val="00D102B0"/>
    <w:rsid w:val="00D1202E"/>
    <w:rsid w:val="00D13FDA"/>
    <w:rsid w:val="00D21777"/>
    <w:rsid w:val="00D3751C"/>
    <w:rsid w:val="00D45456"/>
    <w:rsid w:val="00D72EA9"/>
    <w:rsid w:val="00D763AF"/>
    <w:rsid w:val="00DA58DC"/>
    <w:rsid w:val="00DB266E"/>
    <w:rsid w:val="00DC279E"/>
    <w:rsid w:val="00DC6F93"/>
    <w:rsid w:val="00DD502B"/>
    <w:rsid w:val="00DD6E73"/>
    <w:rsid w:val="00DF0023"/>
    <w:rsid w:val="00E03501"/>
    <w:rsid w:val="00E265D2"/>
    <w:rsid w:val="00E30E76"/>
    <w:rsid w:val="00E36319"/>
    <w:rsid w:val="00E53D38"/>
    <w:rsid w:val="00E569CB"/>
    <w:rsid w:val="00E66A48"/>
    <w:rsid w:val="00E7483D"/>
    <w:rsid w:val="00E80ACD"/>
    <w:rsid w:val="00E874E1"/>
    <w:rsid w:val="00E9512B"/>
    <w:rsid w:val="00EB587E"/>
    <w:rsid w:val="00EC0323"/>
    <w:rsid w:val="00ED21B1"/>
    <w:rsid w:val="00EE29F1"/>
    <w:rsid w:val="00F02194"/>
    <w:rsid w:val="00F1795C"/>
    <w:rsid w:val="00F2189E"/>
    <w:rsid w:val="00F55020"/>
    <w:rsid w:val="00F66DCF"/>
    <w:rsid w:val="00F77878"/>
    <w:rsid w:val="00F87C1F"/>
    <w:rsid w:val="00F96FDE"/>
    <w:rsid w:val="00FB0842"/>
    <w:rsid w:val="00FC01FE"/>
    <w:rsid w:val="00FC1ECC"/>
    <w:rsid w:val="00FC43CC"/>
    <w:rsid w:val="00FC45D5"/>
    <w:rsid w:val="00FD0407"/>
    <w:rsid w:val="00FE6606"/>
    <w:rsid w:val="00FF42CF"/>
    <w:rsid w:val="05A86320"/>
    <w:rsid w:val="05F77A12"/>
    <w:rsid w:val="06A35E92"/>
    <w:rsid w:val="07C6411F"/>
    <w:rsid w:val="087C3466"/>
    <w:rsid w:val="09702289"/>
    <w:rsid w:val="098B441E"/>
    <w:rsid w:val="099621FA"/>
    <w:rsid w:val="0AF50259"/>
    <w:rsid w:val="0B392FD5"/>
    <w:rsid w:val="0D1129FD"/>
    <w:rsid w:val="0E9B12F6"/>
    <w:rsid w:val="10721B63"/>
    <w:rsid w:val="12022A2E"/>
    <w:rsid w:val="12326EB4"/>
    <w:rsid w:val="13925C08"/>
    <w:rsid w:val="14603C13"/>
    <w:rsid w:val="146A2B1E"/>
    <w:rsid w:val="16CC1AF2"/>
    <w:rsid w:val="17F336CA"/>
    <w:rsid w:val="17FB7A88"/>
    <w:rsid w:val="18C13529"/>
    <w:rsid w:val="18E1300A"/>
    <w:rsid w:val="1B57392B"/>
    <w:rsid w:val="1D000A11"/>
    <w:rsid w:val="1D691B49"/>
    <w:rsid w:val="1E845A40"/>
    <w:rsid w:val="1FD63258"/>
    <w:rsid w:val="1FD9586A"/>
    <w:rsid w:val="20125FC6"/>
    <w:rsid w:val="211F764D"/>
    <w:rsid w:val="214E201A"/>
    <w:rsid w:val="218E7988"/>
    <w:rsid w:val="225320DE"/>
    <w:rsid w:val="24021D03"/>
    <w:rsid w:val="249D12EE"/>
    <w:rsid w:val="257252AF"/>
    <w:rsid w:val="26663961"/>
    <w:rsid w:val="266C5A4C"/>
    <w:rsid w:val="26BB3134"/>
    <w:rsid w:val="26D6306A"/>
    <w:rsid w:val="27AE6D6E"/>
    <w:rsid w:val="29167809"/>
    <w:rsid w:val="29514455"/>
    <w:rsid w:val="2A716687"/>
    <w:rsid w:val="2E1B3283"/>
    <w:rsid w:val="2F5B6E36"/>
    <w:rsid w:val="30986E0D"/>
    <w:rsid w:val="311B05E1"/>
    <w:rsid w:val="31291F7E"/>
    <w:rsid w:val="318178A1"/>
    <w:rsid w:val="342618D3"/>
    <w:rsid w:val="351A59B6"/>
    <w:rsid w:val="35276E71"/>
    <w:rsid w:val="35C81F43"/>
    <w:rsid w:val="36511F38"/>
    <w:rsid w:val="36886B6E"/>
    <w:rsid w:val="371616C9"/>
    <w:rsid w:val="37B0593D"/>
    <w:rsid w:val="37D21973"/>
    <w:rsid w:val="38346373"/>
    <w:rsid w:val="39C24AED"/>
    <w:rsid w:val="3A106036"/>
    <w:rsid w:val="3A2D21CD"/>
    <w:rsid w:val="3A464B75"/>
    <w:rsid w:val="3C2A5691"/>
    <w:rsid w:val="3D111306"/>
    <w:rsid w:val="3DC84CA5"/>
    <w:rsid w:val="3EB65684"/>
    <w:rsid w:val="408D613D"/>
    <w:rsid w:val="414C1C7A"/>
    <w:rsid w:val="43011B6E"/>
    <w:rsid w:val="4320516C"/>
    <w:rsid w:val="44C47D79"/>
    <w:rsid w:val="44E04A90"/>
    <w:rsid w:val="47DF2E42"/>
    <w:rsid w:val="483616EE"/>
    <w:rsid w:val="49753D38"/>
    <w:rsid w:val="4CA12DFC"/>
    <w:rsid w:val="4DDF747C"/>
    <w:rsid w:val="4F5B35BD"/>
    <w:rsid w:val="503475F1"/>
    <w:rsid w:val="51DF3B26"/>
    <w:rsid w:val="52112F3F"/>
    <w:rsid w:val="52D305A5"/>
    <w:rsid w:val="537806AC"/>
    <w:rsid w:val="54117B0C"/>
    <w:rsid w:val="55637382"/>
    <w:rsid w:val="59247F7B"/>
    <w:rsid w:val="597B2C23"/>
    <w:rsid w:val="5A315494"/>
    <w:rsid w:val="5CAC53A8"/>
    <w:rsid w:val="5D1706B9"/>
    <w:rsid w:val="5D4C7FC4"/>
    <w:rsid w:val="5D573625"/>
    <w:rsid w:val="5EA616E7"/>
    <w:rsid w:val="607C78DF"/>
    <w:rsid w:val="60C16521"/>
    <w:rsid w:val="60C67F74"/>
    <w:rsid w:val="61210B13"/>
    <w:rsid w:val="61806EBB"/>
    <w:rsid w:val="62E95194"/>
    <w:rsid w:val="643C6CB2"/>
    <w:rsid w:val="67694A84"/>
    <w:rsid w:val="688A6646"/>
    <w:rsid w:val="68F16ADF"/>
    <w:rsid w:val="698A0CE2"/>
    <w:rsid w:val="6A9E229D"/>
    <w:rsid w:val="6B4532F0"/>
    <w:rsid w:val="6CB07BAC"/>
    <w:rsid w:val="6CFC2F58"/>
    <w:rsid w:val="6D5637AC"/>
    <w:rsid w:val="6DBC1950"/>
    <w:rsid w:val="6E9D5A4F"/>
    <w:rsid w:val="6FC83E42"/>
    <w:rsid w:val="6FFF55C1"/>
    <w:rsid w:val="71202D30"/>
    <w:rsid w:val="727D4A6E"/>
    <w:rsid w:val="738C700D"/>
    <w:rsid w:val="73D65ED0"/>
    <w:rsid w:val="750A2CD7"/>
    <w:rsid w:val="75291580"/>
    <w:rsid w:val="758F7E75"/>
    <w:rsid w:val="75937578"/>
    <w:rsid w:val="762409E0"/>
    <w:rsid w:val="775A2C17"/>
    <w:rsid w:val="778E1AA2"/>
    <w:rsid w:val="78040B07"/>
    <w:rsid w:val="7C9F377B"/>
    <w:rsid w:val="7F005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endnote text"/>
    <w:basedOn w:val="1"/>
    <w:link w:val="13"/>
    <w:unhideWhenUsed/>
    <w:qFormat/>
    <w:uiPriority w:val="99"/>
    <w:pPr>
      <w:snapToGrid w:val="0"/>
      <w:jc w:val="left"/>
    </w:pPr>
  </w:style>
  <w:style w:type="paragraph" w:styleId="4">
    <w:name w:val="Balloon Text"/>
    <w:basedOn w:val="1"/>
    <w:link w:val="14"/>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endnote reference"/>
    <w:unhideWhenUsed/>
    <w:qFormat/>
    <w:uiPriority w:val="99"/>
    <w:rPr>
      <w:vertAlign w:val="superscript"/>
    </w:rPr>
  </w:style>
  <w:style w:type="character" w:styleId="12">
    <w:name w:val="Hyperlink"/>
    <w:basedOn w:val="9"/>
    <w:unhideWhenUsed/>
    <w:qFormat/>
    <w:uiPriority w:val="99"/>
    <w:rPr>
      <w:color w:val="0000FF"/>
      <w:u w:val="single"/>
    </w:rPr>
  </w:style>
  <w:style w:type="character" w:customStyle="1" w:styleId="13">
    <w:name w:val="尾注文本 字符"/>
    <w:link w:val="3"/>
    <w:semiHidden/>
    <w:qFormat/>
    <w:uiPriority w:val="99"/>
  </w:style>
  <w:style w:type="character" w:customStyle="1" w:styleId="14">
    <w:name w:val="批注框文本 字符"/>
    <w:link w:val="4"/>
    <w:semiHidden/>
    <w:qFormat/>
    <w:uiPriority w:val="99"/>
    <w:rPr>
      <w:kern w:val="2"/>
      <w:sz w:val="18"/>
      <w:szCs w:val="18"/>
    </w:rPr>
  </w:style>
  <w:style w:type="character" w:customStyle="1" w:styleId="15">
    <w:name w:val="页脚 字符"/>
    <w:link w:val="5"/>
    <w:qFormat/>
    <w:uiPriority w:val="99"/>
    <w:rPr>
      <w:sz w:val="18"/>
      <w:szCs w:val="18"/>
    </w:rPr>
  </w:style>
  <w:style w:type="character" w:customStyle="1" w:styleId="16">
    <w:name w:val="页眉 字符"/>
    <w:link w:val="6"/>
    <w:qFormat/>
    <w:uiPriority w:val="99"/>
    <w:rPr>
      <w:sz w:val="18"/>
      <w:szCs w:val="18"/>
    </w:rPr>
  </w:style>
  <w:style w:type="paragraph" w:customStyle="1" w:styleId="17">
    <w:name w:val="修订1"/>
    <w:hidden/>
    <w:unhideWhenUsed/>
    <w:qFormat/>
    <w:uiPriority w:val="99"/>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871</Words>
  <Characters>925</Characters>
  <Lines>5</Lines>
  <Paragraphs>1</Paragraphs>
  <TotalTime>7</TotalTime>
  <ScaleCrop>false</ScaleCrop>
  <LinksUpToDate>false</LinksUpToDate>
  <CharactersWithSpaces>925</CharactersWithSpaces>
  <Application>WPS Office_11.8.2.10337_F1E327BC-269C-435d-A152-05C5408002CA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2024-06-27T11:48:00Z</dcterms:created>
  <dc:creator>admin</dc:creator>
  <cp:lastModifiedBy>scjgj</cp:lastModifiedBy>
  <cp:lastPrinted>2014-10-08T10:48:00Z</cp:lastPrinted>
  <dcterms:modified xsi:type="dcterms:W3CDTF">2025-02-10T09:56:56Z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y fmtid="{D5CDD505-2E9C-101B-9397-08002B2CF9AE}" pid="3" name="ICV">
    <vt:lpwstr>5FD29769B59347B489E472AEEF92C3C5</vt:lpwstr>
  </property>
</Properties>
</file>