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bookmarkStart w:id="2" w:name="_GoBack"/>
      <w:bookmarkEnd w:id="2"/>
      <w:r>
        <w:rPr>
          <w:rFonts w:hint="eastAsia" w:ascii="黑体" w:hAnsi="黑体" w:eastAsia="黑体" w:cs="黑体"/>
          <w:bCs/>
          <w:sz w:val="36"/>
          <w:szCs w:val="36"/>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auto"/>
            <w:vAlign w:val="center"/>
          </w:tcPr>
          <w:p>
            <w:pPr>
              <w:pStyle w:val="5"/>
              <w:adjustRightInd w:val="0"/>
              <w:snapToGrid w:val="0"/>
              <w:spacing w:after="0"/>
              <w:jc w:val="center"/>
              <w:rPr>
                <w:rFonts w:cs="宋体"/>
                <w:bCs/>
                <w:color w:val="000000"/>
                <w:sz w:val="24"/>
                <w:szCs w:val="24"/>
              </w:rPr>
            </w:pPr>
            <w:r>
              <w:rPr>
                <w:rFonts w:hint="eastAsia" w:cs="宋体"/>
                <w:bCs/>
                <w:color w:val="000000"/>
                <w:sz w:val="24"/>
                <w:szCs w:val="24"/>
              </w:rPr>
              <w:t>案件名称</w:t>
            </w:r>
          </w:p>
        </w:tc>
        <w:tc>
          <w:tcPr>
            <w:tcW w:w="7700" w:type="dxa"/>
            <w:gridSpan w:val="2"/>
            <w:vAlign w:val="center"/>
          </w:tcPr>
          <w:p>
            <w:pPr>
              <w:adjustRightInd w:val="0"/>
              <w:snapToGrid w:val="0"/>
              <w:spacing w:after="0"/>
              <w:rPr>
                <w:rFonts w:cs="宋体"/>
                <w:bCs/>
                <w:color w:val="000000"/>
                <w:sz w:val="24"/>
                <w:szCs w:val="24"/>
              </w:rPr>
            </w:pPr>
            <w:r>
              <w:rPr>
                <w:rFonts w:hint="eastAsia"/>
                <w:sz w:val="24"/>
                <w:szCs w:val="24"/>
              </w:rPr>
              <w:t>TCL实业控股股份有限公司与华晨中国汽车控股有限公司新设合营企业案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auto"/>
            <w:vAlign w:val="center"/>
          </w:tcPr>
          <w:p>
            <w:pPr>
              <w:pStyle w:val="5"/>
              <w:adjustRightInd w:val="0"/>
              <w:snapToGrid w:val="0"/>
              <w:spacing w:after="0"/>
              <w:jc w:val="center"/>
              <w:rPr>
                <w:rFonts w:cs="宋体"/>
                <w:bCs/>
                <w:color w:val="000000"/>
                <w:sz w:val="24"/>
                <w:szCs w:val="24"/>
              </w:rPr>
            </w:pPr>
            <w:r>
              <w:rPr>
                <w:rFonts w:hint="eastAsia" w:cs="宋体"/>
                <w:bCs/>
                <w:color w:val="000000"/>
                <w:sz w:val="24"/>
                <w:szCs w:val="24"/>
              </w:rPr>
              <w:t>交易概况（限200字内）</w:t>
            </w:r>
          </w:p>
        </w:tc>
        <w:tc>
          <w:tcPr>
            <w:tcW w:w="7700" w:type="dxa"/>
            <w:gridSpan w:val="2"/>
            <w:vAlign w:val="center"/>
          </w:tcPr>
          <w:p>
            <w:pPr>
              <w:adjustRightInd w:val="0"/>
              <w:snapToGrid w:val="0"/>
              <w:spacing w:after="0"/>
              <w:rPr>
                <w:rFonts w:cs="宋体"/>
                <w:sz w:val="24"/>
                <w:szCs w:val="24"/>
              </w:rPr>
            </w:pPr>
            <w:r>
              <w:rPr>
                <w:rFonts w:hint="eastAsia"/>
                <w:sz w:val="24"/>
                <w:szCs w:val="24"/>
              </w:rPr>
              <w:t>TCL实业控股股份有限公司（“TCL实业”）</w:t>
            </w:r>
            <w:r>
              <w:rPr>
                <w:sz w:val="24"/>
                <w:szCs w:val="24"/>
              </w:rPr>
              <w:t>与</w:t>
            </w:r>
            <w:r>
              <w:rPr>
                <w:rFonts w:hint="eastAsia"/>
                <w:sz w:val="24"/>
                <w:szCs w:val="24"/>
              </w:rPr>
              <w:t>华晨中国汽车控股有限公司（“华晨中国”）签署协议，拟共同设立合营企业。合营企业主要从事车载显示、汽车智能座舱及智能驾驶等业务。交易后，TCL实业和华晨中国将分别持有合营企业50%、50%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auto"/>
            <w:vAlign w:val="center"/>
          </w:tcPr>
          <w:p>
            <w:pPr>
              <w:pStyle w:val="5"/>
              <w:adjustRightInd w:val="0"/>
              <w:snapToGrid w:val="0"/>
              <w:spacing w:after="0"/>
              <w:jc w:val="center"/>
              <w:rPr>
                <w:rFonts w:cs="宋体"/>
                <w:bCs/>
                <w:color w:val="000000"/>
                <w:sz w:val="24"/>
                <w:szCs w:val="24"/>
              </w:rPr>
            </w:pPr>
            <w:r>
              <w:rPr>
                <w:rFonts w:hint="eastAsia" w:cs="宋体"/>
                <w:bCs/>
                <w:color w:val="000000"/>
                <w:sz w:val="24"/>
                <w:szCs w:val="24"/>
              </w:rPr>
              <w:t>参与集中的经营者简介（每个限100字以内）</w:t>
            </w:r>
          </w:p>
        </w:tc>
        <w:tc>
          <w:tcPr>
            <w:tcW w:w="1607" w:type="dxa"/>
            <w:vAlign w:val="center"/>
          </w:tcPr>
          <w:p>
            <w:pPr>
              <w:pStyle w:val="5"/>
              <w:adjustRightInd w:val="0"/>
              <w:snapToGrid w:val="0"/>
              <w:spacing w:after="0"/>
              <w:rPr>
                <w:rFonts w:cs="宋体"/>
                <w:bCs/>
                <w:color w:val="000000"/>
                <w:sz w:val="24"/>
                <w:szCs w:val="24"/>
              </w:rPr>
            </w:pPr>
            <w:r>
              <w:rPr>
                <w:rFonts w:hint="eastAsia" w:cs="宋体"/>
                <w:bCs/>
                <w:color w:val="000000"/>
                <w:sz w:val="24"/>
                <w:szCs w:val="24"/>
              </w:rPr>
              <w:t>1.</w:t>
            </w:r>
            <w:r>
              <w:rPr>
                <w:rFonts w:hint="eastAsia"/>
                <w:sz w:val="24"/>
                <w:szCs w:val="24"/>
              </w:rPr>
              <w:t xml:space="preserve"> TCL实业</w:t>
            </w:r>
          </w:p>
        </w:tc>
        <w:tc>
          <w:tcPr>
            <w:tcW w:w="6093" w:type="dxa"/>
            <w:vAlign w:val="center"/>
          </w:tcPr>
          <w:p>
            <w:pPr>
              <w:adjustRightInd w:val="0"/>
              <w:snapToGrid w:val="0"/>
              <w:spacing w:after="0"/>
              <w:rPr>
                <w:rFonts w:cs="宋体"/>
                <w:sz w:val="24"/>
                <w:szCs w:val="24"/>
              </w:rPr>
            </w:pPr>
            <w:r>
              <w:rPr>
                <w:rFonts w:hint="eastAsia"/>
                <w:sz w:val="24"/>
                <w:szCs w:val="24"/>
              </w:rPr>
              <w:t>TCL实业</w:t>
            </w:r>
            <w:r>
              <w:rPr>
                <w:rFonts w:hint="eastAsia" w:cs="宋体"/>
                <w:bCs/>
                <w:color w:val="000000"/>
                <w:sz w:val="24"/>
                <w:szCs w:val="24"/>
              </w:rPr>
              <w:t>于</w:t>
            </w:r>
            <w:r>
              <w:rPr>
                <w:rFonts w:hint="eastAsia"/>
                <w:sz w:val="24"/>
                <w:szCs w:val="24"/>
              </w:rPr>
              <w:t>2018年9月17日</w:t>
            </w:r>
            <w:r>
              <w:rPr>
                <w:rFonts w:hint="eastAsia" w:cs="宋体"/>
                <w:bCs/>
                <w:color w:val="000000"/>
                <w:sz w:val="24"/>
                <w:szCs w:val="24"/>
              </w:rPr>
              <w:t>成立于广东省惠州市，主要从事</w:t>
            </w:r>
            <w:r>
              <w:rPr>
                <w:rFonts w:hint="eastAsia"/>
                <w:sz w:val="24"/>
                <w:szCs w:val="24"/>
              </w:rPr>
              <w:t>智能终端业务，公司主业涉及泛智屏、智能移动及连接设备、冰箱、洗衣机、空调、智能家居等领域。</w:t>
            </w:r>
          </w:p>
          <w:p>
            <w:pPr>
              <w:adjustRightInd w:val="0"/>
              <w:snapToGrid w:val="0"/>
              <w:spacing w:after="0"/>
              <w:rPr>
                <w:rFonts w:cs="宋体"/>
                <w:sz w:val="24"/>
                <w:szCs w:val="24"/>
              </w:rPr>
            </w:pPr>
            <w:r>
              <w:rPr>
                <w:rFonts w:hint="eastAsia"/>
                <w:sz w:val="24"/>
                <w:szCs w:val="24"/>
              </w:rPr>
              <w:t>TCL实业最终控制人为自然人，主要从事智能终端业务。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1607" w:type="dxa"/>
            <w:vAlign w:val="center"/>
          </w:tcPr>
          <w:p>
            <w:pPr>
              <w:pStyle w:val="5"/>
              <w:adjustRightInd w:val="0"/>
              <w:snapToGrid w:val="0"/>
              <w:spacing w:after="0"/>
              <w:rPr>
                <w:rFonts w:cs="宋体"/>
                <w:bCs/>
                <w:color w:val="000000"/>
                <w:sz w:val="24"/>
                <w:szCs w:val="24"/>
              </w:rPr>
            </w:pPr>
            <w:r>
              <w:rPr>
                <w:rFonts w:hint="eastAsia" w:cs="宋体"/>
                <w:bCs/>
                <w:color w:val="000000"/>
                <w:sz w:val="24"/>
                <w:szCs w:val="24"/>
              </w:rPr>
              <w:t>2.</w:t>
            </w:r>
            <w:r>
              <w:rPr>
                <w:rFonts w:hint="eastAsia"/>
                <w:sz w:val="24"/>
                <w:szCs w:val="24"/>
              </w:rPr>
              <w:t xml:space="preserve"> </w:t>
            </w:r>
            <w:bookmarkStart w:id="0" w:name="OLE_LINK3"/>
            <w:r>
              <w:rPr>
                <w:rFonts w:hint="eastAsia"/>
                <w:sz w:val="24"/>
                <w:szCs w:val="24"/>
              </w:rPr>
              <w:t>华晨中国</w:t>
            </w:r>
            <w:bookmarkEnd w:id="0"/>
          </w:p>
        </w:tc>
        <w:tc>
          <w:tcPr>
            <w:tcW w:w="6093" w:type="dxa"/>
            <w:vAlign w:val="center"/>
          </w:tcPr>
          <w:p>
            <w:pPr>
              <w:adjustRightInd w:val="0"/>
              <w:snapToGrid w:val="0"/>
              <w:spacing w:after="0"/>
              <w:rPr>
                <w:rFonts w:cs="宋体"/>
                <w:bCs/>
                <w:color w:val="000000"/>
                <w:sz w:val="24"/>
                <w:szCs w:val="24"/>
              </w:rPr>
            </w:pPr>
            <w:bookmarkStart w:id="1" w:name="OLE_LINK2"/>
            <w:r>
              <w:rPr>
                <w:rFonts w:hint="eastAsia"/>
                <w:sz w:val="24"/>
                <w:szCs w:val="24"/>
              </w:rPr>
              <w:t>华晨中国</w:t>
            </w:r>
            <w:bookmarkEnd w:id="1"/>
            <w:r>
              <w:rPr>
                <w:rFonts w:hint="eastAsia" w:cs="宋体"/>
                <w:bCs/>
                <w:color w:val="000000"/>
                <w:sz w:val="24"/>
                <w:szCs w:val="24"/>
              </w:rPr>
              <w:t>于</w:t>
            </w:r>
            <w:r>
              <w:rPr>
                <w:rFonts w:hint="eastAsia"/>
                <w:bCs/>
                <w:sz w:val="24"/>
                <w:szCs w:val="24"/>
              </w:rPr>
              <w:t>1992年6月9日</w:t>
            </w:r>
            <w:r>
              <w:rPr>
                <w:rFonts w:hint="eastAsia" w:cs="宋体"/>
                <w:bCs/>
                <w:color w:val="000000"/>
                <w:sz w:val="24"/>
                <w:szCs w:val="24"/>
              </w:rPr>
              <w:t>成立于</w:t>
            </w:r>
            <w:r>
              <w:rPr>
                <w:rFonts w:hint="eastAsia"/>
                <w:sz w:val="24"/>
                <w:szCs w:val="24"/>
              </w:rPr>
              <w:t>百慕大</w:t>
            </w:r>
            <w:r>
              <w:rPr>
                <w:rFonts w:hint="eastAsia" w:cs="宋体"/>
                <w:bCs/>
                <w:color w:val="000000"/>
                <w:sz w:val="24"/>
                <w:szCs w:val="24"/>
              </w:rPr>
              <w:t>，为香港交易所上市公司，主要从事</w:t>
            </w:r>
            <w:r>
              <w:rPr>
                <w:rFonts w:hint="eastAsia"/>
                <w:sz w:val="24"/>
                <w:szCs w:val="24"/>
              </w:rPr>
              <w:t>汽车零部件的制造与销售、汽车金融服务。</w:t>
            </w:r>
          </w:p>
          <w:p>
            <w:pPr>
              <w:adjustRightInd w:val="0"/>
              <w:snapToGrid w:val="0"/>
              <w:spacing w:after="0"/>
              <w:rPr>
                <w:sz w:val="24"/>
                <w:szCs w:val="24"/>
              </w:rPr>
            </w:pPr>
            <w:r>
              <w:rPr>
                <w:rFonts w:hint="eastAsia"/>
                <w:sz w:val="24"/>
                <w:szCs w:val="24"/>
              </w:rPr>
              <w:t>华晨中国</w:t>
            </w:r>
            <w:r>
              <w:rPr>
                <w:rFonts w:hint="eastAsia" w:cs="宋体"/>
                <w:bCs/>
                <w:color w:val="000000"/>
                <w:sz w:val="24"/>
                <w:szCs w:val="24"/>
              </w:rPr>
              <w:t>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auto"/>
            <w:vAlign w:val="center"/>
          </w:tcPr>
          <w:p>
            <w:pPr>
              <w:pStyle w:val="5"/>
              <w:adjustRightInd w:val="0"/>
              <w:snapToGrid w:val="0"/>
              <w:spacing w:after="0"/>
              <w:jc w:val="center"/>
              <w:rPr>
                <w:rFonts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auto"/>
            <w:vAlign w:val="center"/>
          </w:tcPr>
          <w:p>
            <w:pPr>
              <w:pStyle w:val="5"/>
              <w:adjustRightInd w:val="0"/>
              <w:snapToGrid w:val="0"/>
              <w:spacing w:after="0"/>
              <w:jc w:val="center"/>
              <w:rPr>
                <w:rFonts w:cs="宋体"/>
                <w:bCs/>
                <w:color w:val="000000"/>
                <w:sz w:val="24"/>
                <w:szCs w:val="24"/>
              </w:rPr>
            </w:pPr>
          </w:p>
        </w:tc>
        <w:tc>
          <w:tcPr>
            <w:tcW w:w="7700" w:type="dxa"/>
            <w:gridSpan w:val="2"/>
            <w:vAlign w:val="center"/>
          </w:tcPr>
          <w:p>
            <w:pPr>
              <w:pStyle w:val="5"/>
              <w:adjustRightInd w:val="0"/>
              <w:snapToGrid w:val="0"/>
              <w:spacing w:after="0"/>
              <w:rPr>
                <w:rFonts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auto"/>
            <w:vAlign w:val="center"/>
          </w:tcPr>
          <w:p>
            <w:pPr>
              <w:pStyle w:val="5"/>
              <w:adjustRightInd w:val="0"/>
              <w:snapToGrid w:val="0"/>
              <w:spacing w:after="0"/>
              <w:jc w:val="center"/>
              <w:rPr>
                <w:rFonts w:cs="宋体"/>
                <w:bCs/>
                <w:color w:val="000000"/>
                <w:sz w:val="24"/>
                <w:szCs w:val="24"/>
              </w:rPr>
            </w:pPr>
            <w:r>
              <w:rPr>
                <w:rFonts w:hint="eastAsia" w:cs="宋体"/>
                <w:bCs/>
                <w:color w:val="000000"/>
                <w:sz w:val="24"/>
                <w:szCs w:val="24"/>
              </w:rPr>
              <w:t>备注</w:t>
            </w:r>
          </w:p>
        </w:tc>
        <w:tc>
          <w:tcPr>
            <w:tcW w:w="7700" w:type="dxa"/>
            <w:gridSpan w:val="2"/>
            <w:vAlign w:val="center"/>
          </w:tcPr>
          <w:p>
            <w:pPr>
              <w:pStyle w:val="5"/>
              <w:adjustRightInd w:val="0"/>
              <w:snapToGrid w:val="0"/>
              <w:spacing w:after="0"/>
              <w:rPr>
                <w:rFonts w:cs="宋体"/>
                <w:b/>
                <w:color w:val="000000"/>
                <w:sz w:val="24"/>
                <w:szCs w:val="24"/>
              </w:rPr>
            </w:pPr>
            <w:r>
              <w:rPr>
                <w:rFonts w:hint="eastAsia" w:cs="宋体"/>
                <w:b/>
                <w:color w:val="000000"/>
                <w:sz w:val="24"/>
                <w:szCs w:val="24"/>
              </w:rPr>
              <w:t>纵向关联：</w:t>
            </w:r>
          </w:p>
          <w:p>
            <w:pPr>
              <w:pStyle w:val="5"/>
              <w:adjustRightInd w:val="0"/>
              <w:snapToGrid w:val="0"/>
              <w:spacing w:after="0"/>
              <w:rPr>
                <w:rFonts w:cs="宋体"/>
                <w:bCs/>
                <w:color w:val="000000"/>
                <w:sz w:val="24"/>
                <w:szCs w:val="24"/>
                <w:lang w:val="en-US" w:eastAsia="zh-CN"/>
              </w:rPr>
            </w:pPr>
            <w:r>
              <w:rPr>
                <w:rFonts w:hint="eastAsia" w:cs="宋体"/>
                <w:bCs/>
                <w:color w:val="000000"/>
                <w:sz w:val="24"/>
                <w:szCs w:val="24"/>
                <w:lang w:val="en-US" w:eastAsia="zh-CN"/>
              </w:rPr>
              <w:t>上游：</w:t>
            </w:r>
          </w:p>
          <w:p>
            <w:pPr>
              <w:pStyle w:val="5"/>
              <w:numPr>
                <w:ilvl w:val="0"/>
                <w:numId w:val="1"/>
              </w:numPr>
              <w:adjustRightInd w:val="0"/>
              <w:snapToGrid w:val="0"/>
              <w:spacing w:after="0"/>
              <w:ind w:left="360" w:leftChars="0" w:hanging="360" w:firstLineChars="0"/>
              <w:rPr>
                <w:rFonts w:cs="宋体"/>
                <w:bCs/>
                <w:color w:val="000000"/>
                <w:sz w:val="24"/>
                <w:szCs w:val="24"/>
                <w:lang w:val="en-US" w:eastAsia="zh-CN"/>
              </w:rPr>
            </w:pPr>
            <w:r>
              <w:rPr>
                <w:rFonts w:hint="eastAsia" w:cs="宋体"/>
                <w:bCs/>
                <w:color w:val="000000"/>
                <w:sz w:val="24"/>
                <w:szCs w:val="24"/>
                <w:lang w:val="en-US" w:eastAsia="zh-CN"/>
              </w:rPr>
              <w:t>2023年中国境内车用液晶显示面板市场</w:t>
            </w:r>
          </w:p>
          <w:p>
            <w:pPr>
              <w:pStyle w:val="5"/>
              <w:adjustRightInd w:val="0"/>
              <w:snapToGrid w:val="0"/>
              <w:spacing w:after="0"/>
              <w:ind w:left="360"/>
              <w:rPr>
                <w:rFonts w:hint="default" w:cs="宋体"/>
                <w:bCs/>
                <w:color w:val="000000"/>
                <w:sz w:val="24"/>
                <w:szCs w:val="24"/>
                <w:lang w:val="en-US" w:eastAsia="zh-CN"/>
              </w:rPr>
            </w:pPr>
            <w:r>
              <w:rPr>
                <w:rFonts w:hint="eastAsia"/>
                <w:sz w:val="24"/>
                <w:szCs w:val="24"/>
                <w:lang w:eastAsia="zh-CN"/>
              </w:rPr>
              <w:t>TCL实业</w:t>
            </w:r>
            <w:r>
              <w:rPr>
                <w:rFonts w:hint="eastAsia" w:cs="宋体"/>
                <w:bCs/>
                <w:color w:val="000000"/>
                <w:sz w:val="24"/>
                <w:szCs w:val="24"/>
                <w:lang w:val="en-US" w:eastAsia="zh-CN"/>
              </w:rPr>
              <w:t>：0-5%，合营企业（预估）：0-5%，双方合计：0-5%</w:t>
            </w:r>
          </w:p>
          <w:p>
            <w:pPr>
              <w:pStyle w:val="5"/>
              <w:numPr>
                <w:ilvl w:val="0"/>
                <w:numId w:val="1"/>
              </w:numPr>
              <w:adjustRightInd w:val="0"/>
              <w:snapToGrid w:val="0"/>
              <w:spacing w:after="0"/>
              <w:ind w:left="425" w:leftChars="0" w:hanging="425" w:firstLineChars="0"/>
              <w:rPr>
                <w:rFonts w:cs="宋体"/>
                <w:bCs/>
                <w:color w:val="000000"/>
                <w:sz w:val="24"/>
                <w:szCs w:val="24"/>
                <w:lang w:val="en-US" w:eastAsia="zh-CN"/>
              </w:rPr>
            </w:pPr>
            <w:r>
              <w:rPr>
                <w:rFonts w:hint="eastAsia" w:cs="宋体"/>
                <w:bCs/>
                <w:color w:val="000000"/>
                <w:sz w:val="24"/>
                <w:szCs w:val="24"/>
                <w:lang w:val="en-US" w:eastAsia="zh-CN"/>
              </w:rPr>
              <w:t>2023年中国境内智能座舱系统市场</w:t>
            </w:r>
          </w:p>
          <w:p>
            <w:pPr>
              <w:pStyle w:val="5"/>
              <w:adjustRightInd w:val="0"/>
              <w:snapToGrid w:val="0"/>
              <w:spacing w:after="0"/>
              <w:ind w:left="360"/>
              <w:rPr>
                <w:rFonts w:cs="宋体"/>
                <w:bCs/>
                <w:color w:val="000000"/>
                <w:sz w:val="24"/>
                <w:szCs w:val="24"/>
                <w:lang w:val="en-US" w:eastAsia="zh-CN"/>
              </w:rPr>
            </w:pPr>
            <w:r>
              <w:rPr>
                <w:rFonts w:hint="eastAsia"/>
                <w:sz w:val="24"/>
                <w:szCs w:val="24"/>
                <w:lang w:eastAsia="zh-CN"/>
              </w:rPr>
              <w:t>TCL实业</w:t>
            </w:r>
            <w:r>
              <w:rPr>
                <w:rFonts w:hint="eastAsia" w:cs="宋体"/>
                <w:bCs/>
                <w:color w:val="000000"/>
                <w:sz w:val="24"/>
                <w:szCs w:val="24"/>
                <w:lang w:val="en-US" w:eastAsia="zh-CN"/>
              </w:rPr>
              <w:t>：0-5%，合营企业（预估）：0-5%，双方合计：0-5%</w:t>
            </w:r>
          </w:p>
          <w:p>
            <w:pPr>
              <w:pStyle w:val="5"/>
              <w:numPr>
                <w:ilvl w:val="0"/>
                <w:numId w:val="1"/>
              </w:numPr>
              <w:adjustRightInd w:val="0"/>
              <w:snapToGrid w:val="0"/>
              <w:spacing w:after="0"/>
              <w:ind w:left="425" w:leftChars="0" w:hanging="425" w:firstLineChars="0"/>
              <w:rPr>
                <w:rFonts w:cs="宋体"/>
                <w:bCs/>
                <w:color w:val="000000"/>
                <w:sz w:val="24"/>
                <w:szCs w:val="24"/>
                <w:lang w:val="en-US" w:eastAsia="zh-CN"/>
              </w:rPr>
            </w:pPr>
            <w:r>
              <w:rPr>
                <w:rFonts w:hint="eastAsia" w:cs="宋体"/>
                <w:bCs/>
                <w:color w:val="000000"/>
                <w:sz w:val="24"/>
                <w:szCs w:val="24"/>
                <w:lang w:val="en-US" w:eastAsia="zh-CN"/>
              </w:rPr>
              <w:t>2023年中国境内智能驾驶电子产品市场</w:t>
            </w:r>
          </w:p>
          <w:p>
            <w:pPr>
              <w:pStyle w:val="5"/>
              <w:adjustRightInd w:val="0"/>
              <w:snapToGrid w:val="0"/>
              <w:spacing w:after="0"/>
              <w:ind w:left="360"/>
              <w:rPr>
                <w:rFonts w:cs="宋体"/>
                <w:bCs/>
                <w:color w:val="000000"/>
                <w:sz w:val="24"/>
                <w:szCs w:val="24"/>
                <w:lang w:val="en-US" w:eastAsia="zh-CN"/>
              </w:rPr>
            </w:pPr>
            <w:r>
              <w:rPr>
                <w:rFonts w:hint="eastAsia"/>
                <w:sz w:val="24"/>
                <w:szCs w:val="24"/>
                <w:lang w:eastAsia="zh-CN"/>
              </w:rPr>
              <w:t>TCL实业</w:t>
            </w:r>
            <w:r>
              <w:rPr>
                <w:rFonts w:hint="eastAsia" w:cs="宋体"/>
                <w:bCs/>
                <w:color w:val="000000"/>
                <w:sz w:val="24"/>
                <w:szCs w:val="24"/>
                <w:lang w:val="en-US" w:eastAsia="zh-CN"/>
              </w:rPr>
              <w:t>：0-5%，合营企业（预估）：0-5%，双方合计：0-5%</w:t>
            </w:r>
          </w:p>
          <w:p>
            <w:pPr>
              <w:pStyle w:val="5"/>
              <w:adjustRightInd w:val="0"/>
              <w:snapToGrid w:val="0"/>
              <w:spacing w:after="0"/>
              <w:rPr>
                <w:rFonts w:cs="宋体"/>
                <w:bCs/>
                <w:color w:val="000000"/>
                <w:sz w:val="24"/>
                <w:szCs w:val="24"/>
                <w:lang w:val="en-US" w:eastAsia="zh-CN"/>
              </w:rPr>
            </w:pPr>
            <w:r>
              <w:rPr>
                <w:rFonts w:hint="eastAsia" w:cs="宋体"/>
                <w:bCs/>
                <w:color w:val="000000"/>
                <w:sz w:val="24"/>
                <w:szCs w:val="24"/>
                <w:lang w:val="en-US" w:eastAsia="zh-CN"/>
              </w:rPr>
              <w:t>下游：</w:t>
            </w:r>
          </w:p>
          <w:p>
            <w:pPr>
              <w:pStyle w:val="5"/>
              <w:numPr>
                <w:ilvl w:val="0"/>
                <w:numId w:val="2"/>
              </w:numPr>
              <w:adjustRightInd w:val="0"/>
              <w:snapToGrid w:val="0"/>
              <w:spacing w:after="0"/>
              <w:ind w:left="360" w:leftChars="0" w:hanging="360" w:firstLineChars="0"/>
              <w:rPr>
                <w:rFonts w:cs="宋体"/>
                <w:bCs/>
                <w:color w:val="000000"/>
                <w:sz w:val="24"/>
                <w:szCs w:val="24"/>
                <w:lang w:val="en-US" w:eastAsia="zh-CN"/>
              </w:rPr>
            </w:pPr>
            <w:r>
              <w:rPr>
                <w:rFonts w:hint="eastAsia" w:cs="宋体"/>
                <w:bCs/>
                <w:color w:val="000000"/>
                <w:sz w:val="24"/>
                <w:szCs w:val="24"/>
                <w:lang w:val="en-US" w:eastAsia="zh-CN"/>
              </w:rPr>
              <w:t>2023年中国境内新能源轻型货车市场</w:t>
            </w:r>
          </w:p>
          <w:p>
            <w:pPr>
              <w:pStyle w:val="5"/>
              <w:adjustRightInd w:val="0"/>
              <w:snapToGrid w:val="0"/>
              <w:spacing w:after="0"/>
              <w:ind w:left="360"/>
              <w:rPr>
                <w:rFonts w:cs="宋体"/>
                <w:bCs/>
                <w:color w:val="000000"/>
                <w:sz w:val="24"/>
                <w:szCs w:val="24"/>
                <w:lang w:val="en-US" w:eastAsia="zh-CN"/>
              </w:rPr>
            </w:pPr>
            <w:r>
              <w:rPr>
                <w:rFonts w:hint="eastAsia" w:cs="宋体"/>
                <w:bCs/>
                <w:color w:val="000000"/>
                <w:sz w:val="24"/>
                <w:szCs w:val="24"/>
                <w:lang w:val="en-US" w:eastAsia="zh-CN"/>
              </w:rPr>
              <w:t>华晨中国：0-5%</w:t>
            </w:r>
          </w:p>
          <w:p>
            <w:pPr>
              <w:pStyle w:val="5"/>
              <w:numPr>
                <w:ilvl w:val="0"/>
                <w:numId w:val="2"/>
              </w:numPr>
              <w:adjustRightInd w:val="0"/>
              <w:snapToGrid w:val="0"/>
              <w:spacing w:after="0"/>
              <w:ind w:left="425" w:leftChars="0" w:hanging="425" w:firstLineChars="0"/>
              <w:rPr>
                <w:rFonts w:cs="宋体"/>
                <w:bCs/>
                <w:color w:val="000000"/>
                <w:sz w:val="24"/>
                <w:szCs w:val="24"/>
                <w:lang w:val="en-US" w:eastAsia="zh-CN"/>
              </w:rPr>
            </w:pPr>
            <w:r>
              <w:rPr>
                <w:rFonts w:hint="eastAsia" w:cs="宋体"/>
                <w:bCs/>
                <w:color w:val="000000"/>
                <w:sz w:val="24"/>
                <w:szCs w:val="24"/>
                <w:lang w:val="en-US" w:eastAsia="zh-CN"/>
              </w:rPr>
              <w:t>2023年中国境内传统能源轻型货车市场</w:t>
            </w:r>
          </w:p>
          <w:p>
            <w:pPr>
              <w:pStyle w:val="5"/>
              <w:adjustRightInd w:val="0"/>
              <w:snapToGrid w:val="0"/>
              <w:spacing w:after="0"/>
              <w:ind w:left="360"/>
              <w:rPr>
                <w:rFonts w:cs="宋体"/>
                <w:bCs/>
                <w:color w:val="000000"/>
                <w:sz w:val="24"/>
                <w:szCs w:val="24"/>
                <w:lang w:val="en-US" w:eastAsia="zh-CN"/>
              </w:rPr>
            </w:pPr>
            <w:r>
              <w:rPr>
                <w:rFonts w:hint="eastAsia" w:cs="宋体"/>
                <w:bCs/>
                <w:color w:val="000000"/>
                <w:sz w:val="24"/>
                <w:szCs w:val="24"/>
                <w:lang w:val="en-US" w:eastAsia="zh-CN"/>
              </w:rPr>
              <w:t>华晨中国：0-5%</w:t>
            </w:r>
          </w:p>
          <w:p>
            <w:pPr>
              <w:pStyle w:val="5"/>
              <w:numPr>
                <w:ilvl w:val="0"/>
                <w:numId w:val="2"/>
              </w:numPr>
              <w:adjustRightInd w:val="0"/>
              <w:snapToGrid w:val="0"/>
              <w:spacing w:after="0"/>
              <w:ind w:left="425" w:leftChars="0" w:hanging="425" w:firstLineChars="0"/>
              <w:rPr>
                <w:rFonts w:cs="宋体"/>
                <w:bCs/>
                <w:color w:val="000000"/>
                <w:sz w:val="24"/>
                <w:szCs w:val="24"/>
                <w:lang w:val="en-US" w:eastAsia="zh-CN"/>
              </w:rPr>
            </w:pPr>
            <w:r>
              <w:rPr>
                <w:rFonts w:hint="eastAsia" w:cs="宋体"/>
                <w:bCs/>
                <w:color w:val="000000"/>
                <w:sz w:val="24"/>
                <w:szCs w:val="24"/>
                <w:lang w:val="en-US" w:eastAsia="zh-CN"/>
              </w:rPr>
              <w:t>2023年中国境内传统能源轻型客车市场</w:t>
            </w:r>
          </w:p>
          <w:p>
            <w:pPr>
              <w:pStyle w:val="5"/>
              <w:adjustRightInd w:val="0"/>
              <w:snapToGrid w:val="0"/>
              <w:spacing w:after="0"/>
              <w:ind w:left="360"/>
              <w:rPr>
                <w:rFonts w:cs="宋体"/>
                <w:bCs/>
                <w:color w:val="000000"/>
                <w:sz w:val="24"/>
                <w:szCs w:val="24"/>
              </w:rPr>
            </w:pPr>
            <w:r>
              <w:rPr>
                <w:rFonts w:hint="eastAsia" w:cs="宋体"/>
                <w:bCs/>
                <w:color w:val="000000"/>
                <w:sz w:val="24"/>
                <w:szCs w:val="24"/>
                <w:lang w:val="en-US" w:eastAsia="zh-CN"/>
              </w:rPr>
              <w:t>华晨中国：0-5%</w:t>
            </w:r>
          </w:p>
        </w:tc>
      </w:tr>
    </w:tbl>
    <w:p>
      <w:pPr>
        <w:pStyle w:val="5"/>
        <w:adjustRightInd w:val="0"/>
        <w:snapToGrid w:val="0"/>
        <w:spacing w:after="0"/>
        <w:rPr>
          <w:rFonts w:ascii="Arial" w:hAnsi="Arial" w:eastAsia="楷体_GB2312" w:cs="Arial"/>
          <w:b/>
          <w:color w:val="000000"/>
          <w:sz w:val="22"/>
          <w:szCs w:val="22"/>
        </w:rPr>
      </w:pPr>
    </w:p>
    <w:p>
      <w:pPr>
        <w:rPr>
          <w:rFonts w:eastAsiaTheme="minor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Simplified Arabic">
    <w:altName w:val="Arial"/>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微软雅黑">
    <w:altName w:val="黑体"/>
    <w:panose1 w:val="020B0503020204020204"/>
    <w:charset w:val="86"/>
    <w:family w:val="swiss"/>
    <w:pitch w:val="default"/>
    <w:sig w:usb0="00000000" w:usb1="0000000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747E6"/>
    <w:multiLevelType w:val="singleLevel"/>
    <w:tmpl w:val="BE7747E6"/>
    <w:lvl w:ilvl="0" w:tentative="0">
      <w:start w:val="1"/>
      <w:numFmt w:val="decimal"/>
      <w:lvlText w:val="%1."/>
      <w:lvlJc w:val="left"/>
      <w:pPr>
        <w:ind w:left="425" w:hanging="425"/>
      </w:pPr>
      <w:rPr>
        <w:rFonts w:hint="default"/>
      </w:rPr>
    </w:lvl>
  </w:abstractNum>
  <w:abstractNum w:abstractNumId="1">
    <w:nsid w:val="0BBB94E0"/>
    <w:multiLevelType w:val="singleLevel"/>
    <w:tmpl w:val="0BBB94E0"/>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10F0C"/>
    <w:rsid w:val="00036C24"/>
    <w:rsid w:val="00042BDD"/>
    <w:rsid w:val="0007692D"/>
    <w:rsid w:val="00087338"/>
    <w:rsid w:val="000E588F"/>
    <w:rsid w:val="00114814"/>
    <w:rsid w:val="00150426"/>
    <w:rsid w:val="00160651"/>
    <w:rsid w:val="001B50F2"/>
    <w:rsid w:val="001C6148"/>
    <w:rsid w:val="001F1A10"/>
    <w:rsid w:val="001F1C3C"/>
    <w:rsid w:val="00212693"/>
    <w:rsid w:val="0022179C"/>
    <w:rsid w:val="00221FCA"/>
    <w:rsid w:val="00244DF9"/>
    <w:rsid w:val="0027282D"/>
    <w:rsid w:val="00284710"/>
    <w:rsid w:val="002A0D24"/>
    <w:rsid w:val="00332EAC"/>
    <w:rsid w:val="00346B84"/>
    <w:rsid w:val="00367A54"/>
    <w:rsid w:val="003A5C65"/>
    <w:rsid w:val="003E0C9C"/>
    <w:rsid w:val="004C4C54"/>
    <w:rsid w:val="00500F51"/>
    <w:rsid w:val="00504BEC"/>
    <w:rsid w:val="00507863"/>
    <w:rsid w:val="005C4EFC"/>
    <w:rsid w:val="0062408E"/>
    <w:rsid w:val="00627CE6"/>
    <w:rsid w:val="00646E32"/>
    <w:rsid w:val="006A20C6"/>
    <w:rsid w:val="006C3B44"/>
    <w:rsid w:val="00707821"/>
    <w:rsid w:val="0072474D"/>
    <w:rsid w:val="00734F51"/>
    <w:rsid w:val="00747253"/>
    <w:rsid w:val="00764649"/>
    <w:rsid w:val="007D63FA"/>
    <w:rsid w:val="007F706B"/>
    <w:rsid w:val="00816711"/>
    <w:rsid w:val="00826195"/>
    <w:rsid w:val="008472A3"/>
    <w:rsid w:val="00876497"/>
    <w:rsid w:val="008D54A9"/>
    <w:rsid w:val="009040AD"/>
    <w:rsid w:val="00934D60"/>
    <w:rsid w:val="00A73286"/>
    <w:rsid w:val="00A95E53"/>
    <w:rsid w:val="00A96A1B"/>
    <w:rsid w:val="00AE1E2B"/>
    <w:rsid w:val="00B45330"/>
    <w:rsid w:val="00B93533"/>
    <w:rsid w:val="00BC4863"/>
    <w:rsid w:val="00BD3FB4"/>
    <w:rsid w:val="00BE051D"/>
    <w:rsid w:val="00BE6AF0"/>
    <w:rsid w:val="00C046B3"/>
    <w:rsid w:val="00D11F6E"/>
    <w:rsid w:val="00D14CED"/>
    <w:rsid w:val="00E40607"/>
    <w:rsid w:val="00E4263C"/>
    <w:rsid w:val="00E42BC1"/>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2CEFD3"/>
    <w:rsid w:val="0B63273E"/>
    <w:rsid w:val="0BD91CE7"/>
    <w:rsid w:val="0C6B60D7"/>
    <w:rsid w:val="0DE526A7"/>
    <w:rsid w:val="0E5C7E9D"/>
    <w:rsid w:val="0EEC791B"/>
    <w:rsid w:val="0F272A69"/>
    <w:rsid w:val="0F5B4E0C"/>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B9B14F"/>
    <w:rsid w:val="1DDF30D0"/>
    <w:rsid w:val="1DFE30C6"/>
    <w:rsid w:val="1FC81833"/>
    <w:rsid w:val="1FF5699E"/>
    <w:rsid w:val="20C2797E"/>
    <w:rsid w:val="215B059A"/>
    <w:rsid w:val="24606B41"/>
    <w:rsid w:val="246736EB"/>
    <w:rsid w:val="24840815"/>
    <w:rsid w:val="25C17900"/>
    <w:rsid w:val="25FB871C"/>
    <w:rsid w:val="261144B9"/>
    <w:rsid w:val="26DB81B4"/>
    <w:rsid w:val="27B435B3"/>
    <w:rsid w:val="27ED6C10"/>
    <w:rsid w:val="281C288D"/>
    <w:rsid w:val="289A6D28"/>
    <w:rsid w:val="2B795B9C"/>
    <w:rsid w:val="2C0C7CCC"/>
    <w:rsid w:val="2CAC25FF"/>
    <w:rsid w:val="2DB9CC1D"/>
    <w:rsid w:val="2DFD703E"/>
    <w:rsid w:val="2DFF8C0F"/>
    <w:rsid w:val="2ECF569F"/>
    <w:rsid w:val="2F0902B7"/>
    <w:rsid w:val="3025112D"/>
    <w:rsid w:val="319E78FD"/>
    <w:rsid w:val="32BA38C8"/>
    <w:rsid w:val="32BB6BDF"/>
    <w:rsid w:val="339B1A7D"/>
    <w:rsid w:val="34527864"/>
    <w:rsid w:val="356065C1"/>
    <w:rsid w:val="35741F7B"/>
    <w:rsid w:val="35927D49"/>
    <w:rsid w:val="36647739"/>
    <w:rsid w:val="36722108"/>
    <w:rsid w:val="37736187"/>
    <w:rsid w:val="37EC4B4C"/>
    <w:rsid w:val="39FF89E3"/>
    <w:rsid w:val="3A7D25F4"/>
    <w:rsid w:val="3B6C128B"/>
    <w:rsid w:val="3BF42FA2"/>
    <w:rsid w:val="3C1B3849"/>
    <w:rsid w:val="3C7CED31"/>
    <w:rsid w:val="3CFF8EB4"/>
    <w:rsid w:val="3DBE0E38"/>
    <w:rsid w:val="3DCF2C73"/>
    <w:rsid w:val="3E3B322A"/>
    <w:rsid w:val="3EB7365E"/>
    <w:rsid w:val="3EBE2D3F"/>
    <w:rsid w:val="3ED7D01C"/>
    <w:rsid w:val="3EE73D98"/>
    <w:rsid w:val="3EF1A4B2"/>
    <w:rsid w:val="3FE5DC13"/>
    <w:rsid w:val="3FFFF7A9"/>
    <w:rsid w:val="40D7777E"/>
    <w:rsid w:val="41D779C0"/>
    <w:rsid w:val="436E421B"/>
    <w:rsid w:val="43AB87AC"/>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E8F7977"/>
    <w:rsid w:val="4EA532B2"/>
    <w:rsid w:val="4F7D0643"/>
    <w:rsid w:val="4FFFFA86"/>
    <w:rsid w:val="50CB3BDA"/>
    <w:rsid w:val="511505E7"/>
    <w:rsid w:val="5275657D"/>
    <w:rsid w:val="53701092"/>
    <w:rsid w:val="53DE53F7"/>
    <w:rsid w:val="549363D0"/>
    <w:rsid w:val="54BFF4D6"/>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97D8E7"/>
    <w:rsid w:val="5DFF5221"/>
    <w:rsid w:val="5E606197"/>
    <w:rsid w:val="5E758AD3"/>
    <w:rsid w:val="5ED64838"/>
    <w:rsid w:val="5EFC973F"/>
    <w:rsid w:val="5EFFEB53"/>
    <w:rsid w:val="5F3F5149"/>
    <w:rsid w:val="5F5B3889"/>
    <w:rsid w:val="5F7404E1"/>
    <w:rsid w:val="5FCF1EC8"/>
    <w:rsid w:val="5FDF128E"/>
    <w:rsid w:val="5FE5CE78"/>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A9AD85B"/>
    <w:rsid w:val="6B9261CD"/>
    <w:rsid w:val="6B9A71CB"/>
    <w:rsid w:val="6BCB1BF4"/>
    <w:rsid w:val="6BCC0CB3"/>
    <w:rsid w:val="6C45316D"/>
    <w:rsid w:val="6CBF87B4"/>
    <w:rsid w:val="6D3A6412"/>
    <w:rsid w:val="6DEFBAE0"/>
    <w:rsid w:val="6E372E5F"/>
    <w:rsid w:val="6E3FE820"/>
    <w:rsid w:val="6E786ABC"/>
    <w:rsid w:val="6F4B2340"/>
    <w:rsid w:val="6F538C10"/>
    <w:rsid w:val="6FDF5799"/>
    <w:rsid w:val="710A7485"/>
    <w:rsid w:val="71394751"/>
    <w:rsid w:val="72131803"/>
    <w:rsid w:val="723024E6"/>
    <w:rsid w:val="73026B48"/>
    <w:rsid w:val="74566BED"/>
    <w:rsid w:val="74CE550B"/>
    <w:rsid w:val="767FE0B3"/>
    <w:rsid w:val="76AFBFF1"/>
    <w:rsid w:val="76B766E2"/>
    <w:rsid w:val="76CA40F3"/>
    <w:rsid w:val="77527FDF"/>
    <w:rsid w:val="77AFF4F6"/>
    <w:rsid w:val="77D2B5A7"/>
    <w:rsid w:val="77FFCFC3"/>
    <w:rsid w:val="78410251"/>
    <w:rsid w:val="793FB7A1"/>
    <w:rsid w:val="7A66B182"/>
    <w:rsid w:val="7A9C06E1"/>
    <w:rsid w:val="7AB61CB6"/>
    <w:rsid w:val="7AB91678"/>
    <w:rsid w:val="7B8F578C"/>
    <w:rsid w:val="7B9A66EF"/>
    <w:rsid w:val="7BCFFF69"/>
    <w:rsid w:val="7BE411F0"/>
    <w:rsid w:val="7BFFD823"/>
    <w:rsid w:val="7C7918BC"/>
    <w:rsid w:val="7CF73972"/>
    <w:rsid w:val="7D75E191"/>
    <w:rsid w:val="7DAF2D16"/>
    <w:rsid w:val="7DBF7795"/>
    <w:rsid w:val="7EAFD06A"/>
    <w:rsid w:val="7EBF3D87"/>
    <w:rsid w:val="7EDBFFDD"/>
    <w:rsid w:val="7EE72273"/>
    <w:rsid w:val="7EF716BC"/>
    <w:rsid w:val="7EF7CDD2"/>
    <w:rsid w:val="7F7BEB9D"/>
    <w:rsid w:val="7F9792EC"/>
    <w:rsid w:val="7F9D7702"/>
    <w:rsid w:val="7FB6954E"/>
    <w:rsid w:val="7FBF2495"/>
    <w:rsid w:val="7FDCAB43"/>
    <w:rsid w:val="7FE91E78"/>
    <w:rsid w:val="7FEE562F"/>
    <w:rsid w:val="7FF7D0E8"/>
    <w:rsid w:val="7FFDE69B"/>
    <w:rsid w:val="85EBD2FD"/>
    <w:rsid w:val="8F261D09"/>
    <w:rsid w:val="907B0652"/>
    <w:rsid w:val="9CBD0B1A"/>
    <w:rsid w:val="9D4B5CFF"/>
    <w:rsid w:val="9DD7D21A"/>
    <w:rsid w:val="9EDF5802"/>
    <w:rsid w:val="9FFDD8E1"/>
    <w:rsid w:val="9FFE013C"/>
    <w:rsid w:val="A7F9C1DE"/>
    <w:rsid w:val="ADFAC79E"/>
    <w:rsid w:val="AF7F87AF"/>
    <w:rsid w:val="B3FD6B09"/>
    <w:rsid w:val="B593FB7D"/>
    <w:rsid w:val="B773E742"/>
    <w:rsid w:val="B7BD225A"/>
    <w:rsid w:val="B9B92832"/>
    <w:rsid w:val="BA7B23C6"/>
    <w:rsid w:val="BCB7048F"/>
    <w:rsid w:val="BEAF73DD"/>
    <w:rsid w:val="BF8E36EE"/>
    <w:rsid w:val="BFC56641"/>
    <w:rsid w:val="BFDFB85E"/>
    <w:rsid w:val="BFF739EC"/>
    <w:rsid w:val="BFF9EA8F"/>
    <w:rsid w:val="BFFE311C"/>
    <w:rsid w:val="C3F5BA26"/>
    <w:rsid w:val="C7AF76D2"/>
    <w:rsid w:val="CDE84E1D"/>
    <w:rsid w:val="D26DE2DB"/>
    <w:rsid w:val="D5DB8D8A"/>
    <w:rsid w:val="D5EFF146"/>
    <w:rsid w:val="DDEFBA43"/>
    <w:rsid w:val="DEAFB90F"/>
    <w:rsid w:val="DF21B821"/>
    <w:rsid w:val="DF5E7518"/>
    <w:rsid w:val="DFBF461D"/>
    <w:rsid w:val="DFD76A11"/>
    <w:rsid w:val="DFDEC0FA"/>
    <w:rsid w:val="E9F71F09"/>
    <w:rsid w:val="EAE72EF3"/>
    <w:rsid w:val="EAF942E1"/>
    <w:rsid w:val="EAFD8D58"/>
    <w:rsid w:val="EB6C770B"/>
    <w:rsid w:val="EBCD181E"/>
    <w:rsid w:val="EBEE9EAF"/>
    <w:rsid w:val="EE9E968B"/>
    <w:rsid w:val="EF172596"/>
    <w:rsid w:val="EF3CB694"/>
    <w:rsid w:val="EFFFDD70"/>
    <w:rsid w:val="F1B778F1"/>
    <w:rsid w:val="F3FF743F"/>
    <w:rsid w:val="F47F5071"/>
    <w:rsid w:val="F4F196E2"/>
    <w:rsid w:val="F4FF55F7"/>
    <w:rsid w:val="F5FD8006"/>
    <w:rsid w:val="F79D44CD"/>
    <w:rsid w:val="F7FD911C"/>
    <w:rsid w:val="F9DF2CA6"/>
    <w:rsid w:val="FADD6E63"/>
    <w:rsid w:val="FAFB827D"/>
    <w:rsid w:val="FB3326CC"/>
    <w:rsid w:val="FBCE4D19"/>
    <w:rsid w:val="FBFFBC9C"/>
    <w:rsid w:val="FDBC9498"/>
    <w:rsid w:val="FDBF10AA"/>
    <w:rsid w:val="FDFB140C"/>
    <w:rsid w:val="FE4F0216"/>
    <w:rsid w:val="FE734873"/>
    <w:rsid w:val="FEB71639"/>
    <w:rsid w:val="FEF1E680"/>
    <w:rsid w:val="FEFB7662"/>
    <w:rsid w:val="FEFB8868"/>
    <w:rsid w:val="FF1B8D05"/>
    <w:rsid w:val="FFBA202E"/>
    <w:rsid w:val="FFBC3961"/>
    <w:rsid w:val="FFD3B94F"/>
    <w:rsid w:val="FFFEC311"/>
    <w:rsid w:val="FFFF29D6"/>
    <w:rsid w:val="FFFFC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9"/>
    <w:unhideWhenUsed/>
    <w:qFormat/>
    <w:uiPriority w:val="0"/>
    <w:pPr>
      <w:spacing w:after="120"/>
    </w:pPr>
  </w:style>
  <w:style w:type="paragraph" w:styleId="6">
    <w:name w:val="Body Text First Indent"/>
    <w:qFormat/>
    <w:uiPriority w:val="0"/>
    <w:pPr>
      <w:widowControl w:val="0"/>
      <w:spacing w:after="120" w:line="278" w:lineRule="auto"/>
      <w:ind w:firstLine="420" w:firstLineChars="100"/>
      <w:jc w:val="both"/>
    </w:pPr>
    <w:rPr>
      <w:rFonts w:ascii="Times New Roman" w:hAnsi="Times New Roman" w:eastAsia="宋体" w:cs="Times New Roman"/>
      <w:kern w:val="2"/>
      <w:sz w:val="21"/>
      <w:szCs w:val="21"/>
      <w:lang w:val="en-US" w:eastAsia="zh-CN" w:bidi="ar-SA"/>
    </w:r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sz w:val="30"/>
    </w:rPr>
  </w:style>
  <w:style w:type="paragraph" w:styleId="10">
    <w:name w:val="Normal (Web)"/>
    <w:basedOn w:val="1"/>
    <w:qFormat/>
    <w:uiPriority w:val="0"/>
    <w:rPr>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8"/>
    <w:qFormat/>
    <w:uiPriority w:val="0"/>
    <w:rPr>
      <w:rFonts w:ascii="Times New Roman" w:hAnsi="Times New Roman" w:eastAsia="宋体" w:cs="Times New Roman"/>
      <w:kern w:val="2"/>
      <w:sz w:val="18"/>
      <w:szCs w:val="18"/>
    </w:rPr>
  </w:style>
  <w:style w:type="character" w:customStyle="1" w:styleId="18">
    <w:name w:val="页脚 字符"/>
    <w:basedOn w:val="13"/>
    <w:link w:val="7"/>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0"/>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7"/>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Paragraph"/>
    <w:basedOn w:val="1"/>
    <w:qFormat/>
    <w:uiPriority w:val="1"/>
    <w:pPr>
      <w:autoSpaceDE w:val="0"/>
      <w:autoSpaceDN w:val="0"/>
      <w:spacing w:after="0"/>
      <w:jc w:val="left"/>
    </w:pPr>
    <w:rPr>
      <w:rFonts w:ascii="微软雅黑" w:hAnsi="微软雅黑" w:eastAsia="微软雅黑" w:cs="微软雅黑"/>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1225</Words>
  <Characters>1251</Characters>
  <Lines>1</Lines>
  <Paragraphs>1</Paragraphs>
  <TotalTime>1</TotalTime>
  <ScaleCrop>false</ScaleCrop>
  <LinksUpToDate>false</LinksUpToDate>
  <CharactersWithSpaces>2448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2025-02-16T16:55:00Z</dcterms:created>
  <dc:creator>张斌（反垄断处）</dc:creator>
  <cp:lastModifiedBy>scj</cp:lastModifiedBy>
  <cp:lastPrinted>2025-02-24T17:01:00Z</cp:lastPrinted>
  <dcterms:modified xsi:type="dcterms:W3CDTF">2025-02-24T14:09:36Z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