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黑体" w:hAnsi="黑体" w:eastAsia="黑体"/>
          <w:sz w:val="36"/>
          <w:szCs w:val="36"/>
        </w:rPr>
      </w:pPr>
      <w:r>
        <w:rPr>
          <w:rFonts w:hint="eastAsia" w:ascii="黑体" w:hAnsi="黑体" w:eastAsia="黑体"/>
          <w:sz w:val="36"/>
          <w:szCs w:val="36"/>
        </w:rPr>
        <w:t>经营者集中简易案件公示表</w:t>
      </w:r>
    </w:p>
    <w:p>
      <w:pPr>
        <w:spacing w:line="440" w:lineRule="exact"/>
        <w:jc w:val="center"/>
        <w:rPr>
          <w:rFonts w:ascii="Times New Roman" w:hAnsi="Times New Roman" w:eastAsia="仿宋"/>
          <w:sz w:val="24"/>
          <w:szCs w:val="24"/>
        </w:rPr>
      </w:pPr>
    </w:p>
    <w:tbl>
      <w:tblPr>
        <w:tblStyle w:val="10"/>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940" w:type="dxa"/>
            <w:shd w:val="clear" w:color="auto" w:fill="D9D9D9"/>
            <w:vAlign w:val="center"/>
          </w:tcPr>
          <w:p>
            <w:pPr>
              <w:pStyle w:val="3"/>
              <w:adjustRightInd w:val="0"/>
              <w:snapToGrid w:val="0"/>
              <w:spacing w:after="0"/>
              <w:rPr>
                <w:rFonts w:cs="Times New Roman" w:eastAsiaTheme="minorEastAsia"/>
                <w:bCs/>
                <w:color w:val="000000"/>
                <w:lang w:val="en-US"/>
              </w:rPr>
            </w:pPr>
            <w:r>
              <w:rPr>
                <w:rFonts w:cs="Times New Roman" w:eastAsiaTheme="minorEastAsia"/>
                <w:bCs/>
                <w:color w:val="000000"/>
              </w:rPr>
              <w:t>案件名称</w:t>
            </w:r>
          </w:p>
        </w:tc>
        <w:tc>
          <w:tcPr>
            <w:tcW w:w="7700" w:type="dxa"/>
            <w:gridSpan w:val="2"/>
            <w:vAlign w:val="center"/>
          </w:tcPr>
          <w:p>
            <w:pPr>
              <w:adjustRightInd w:val="0"/>
              <w:snapToGrid w:val="0"/>
              <w:rPr>
                <w:rFonts w:ascii="Times New Roman" w:hAnsi="Times New Roman" w:eastAsiaTheme="minorEastAsia"/>
                <w:sz w:val="24"/>
                <w:szCs w:val="24"/>
              </w:rPr>
            </w:pPr>
            <w:r>
              <w:rPr>
                <w:rFonts w:ascii="Times New Roman" w:hAnsi="Times New Roman" w:eastAsiaTheme="minorEastAsia"/>
                <w:sz w:val="24"/>
                <w:szCs w:val="24"/>
              </w:rPr>
              <w:t>紫金矿业集团股份有限公司收购藏格矿业股份有限公司股权案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3"/>
              <w:adjustRightInd w:val="0"/>
              <w:snapToGrid w:val="0"/>
              <w:spacing w:after="0"/>
              <w:rPr>
                <w:rFonts w:cs="Times New Roman" w:eastAsiaTheme="minorEastAsia"/>
                <w:bCs/>
                <w:color w:val="000000"/>
                <w:lang w:val="en-US" w:eastAsia="zh-CN"/>
              </w:rPr>
            </w:pPr>
            <w:r>
              <w:rPr>
                <w:rFonts w:hint="eastAsia" w:ascii="宋体" w:hAnsi="宋体" w:cs="宋体"/>
                <w:bCs/>
                <w:color w:val="000000"/>
              </w:rPr>
              <w:t>交易概况（限200字内）</w:t>
            </w:r>
          </w:p>
        </w:tc>
        <w:tc>
          <w:tcPr>
            <w:tcW w:w="7700"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ascii="Times New Roman" w:hAnsi="Times New Roman" w:eastAsiaTheme="minorEastAsia"/>
                <w:sz w:val="24"/>
                <w:szCs w:val="24"/>
              </w:rPr>
            </w:pPr>
            <w:r>
              <w:rPr>
                <w:rFonts w:ascii="Times New Roman" w:hAnsi="Times New Roman" w:eastAsiaTheme="minorEastAsia"/>
                <w:sz w:val="24"/>
                <w:szCs w:val="24"/>
              </w:rPr>
              <w:t>紫金矿业集团股份有限公司（“</w:t>
            </w:r>
            <w:r>
              <w:rPr>
                <w:rFonts w:ascii="Times New Roman" w:hAnsi="Times New Roman" w:eastAsiaTheme="minorEastAsia"/>
                <w:b/>
                <w:bCs/>
                <w:sz w:val="24"/>
                <w:szCs w:val="24"/>
              </w:rPr>
              <w:t>紫金矿业</w:t>
            </w:r>
            <w:r>
              <w:rPr>
                <w:rFonts w:ascii="Times New Roman" w:hAnsi="Times New Roman" w:eastAsiaTheme="minorEastAsia"/>
                <w:sz w:val="24"/>
                <w:szCs w:val="24"/>
              </w:rPr>
              <w:t>”），通过其全资子公司紫金国际控股有限公司，与西藏藏格创业投资集团有限公司、四川省永鸿实业有限公司、自然人股东及宁波梅山保税港区新沙鸿运投资管理有限公司签署协议，收购藏格矿业股份有限公司（“</w:t>
            </w:r>
            <w:r>
              <w:rPr>
                <w:rFonts w:ascii="Times New Roman" w:hAnsi="Times New Roman" w:eastAsiaTheme="minorEastAsia"/>
                <w:b/>
                <w:bCs/>
                <w:sz w:val="24"/>
                <w:szCs w:val="24"/>
              </w:rPr>
              <w:t>藏格矿业</w:t>
            </w:r>
            <w:r>
              <w:rPr>
                <w:rFonts w:ascii="Times New Roman" w:hAnsi="Times New Roman" w:eastAsiaTheme="minorEastAsia"/>
                <w:sz w:val="24"/>
                <w:szCs w:val="24"/>
              </w:rPr>
              <w:t>”）24.82%的股份。藏格矿业主要从事矿产资源的开发、生产与销售业务</w:t>
            </w:r>
            <w:r>
              <w:rPr>
                <w:rFonts w:hint="eastAsia" w:ascii="Times New Roman" w:hAnsi="Times New Roman" w:eastAsiaTheme="minorEastAsia"/>
                <w:sz w:val="24"/>
                <w:szCs w:val="24"/>
              </w:rPr>
              <w:t>等</w:t>
            </w:r>
            <w:r>
              <w:rPr>
                <w:rFonts w:ascii="Times New Roman" w:hAnsi="Times New Roman" w:eastAsiaTheme="minorEastAsia"/>
                <w:sz w:val="24"/>
                <w:szCs w:val="24"/>
              </w:rPr>
              <w:t>。交易前，自然人股东持有藏格矿业37.51%的股份并单独控制藏格矿业。交易后，紫金矿业将持有藏格矿业24.82%的股份并单独控制藏格矿业。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3"/>
              <w:adjustRightInd w:val="0"/>
              <w:snapToGrid w:val="0"/>
              <w:spacing w:after="0"/>
              <w:rPr>
                <w:rFonts w:cs="Times New Roman" w:eastAsiaTheme="minorEastAsia"/>
                <w:bCs/>
                <w:color w:val="000000"/>
                <w:lang w:val="en-US" w:eastAsia="zh-CN"/>
              </w:rPr>
            </w:pPr>
            <w:r>
              <w:rPr>
                <w:rFonts w:hint="eastAsia" w:ascii="宋体" w:hAnsi="宋体" w:cs="宋体"/>
                <w:bCs/>
                <w:color w:val="000000"/>
                <w:lang w:eastAsia="zh-CN"/>
              </w:rPr>
              <w:t>参与集中的经营者简介（每个限100字以内）</w:t>
            </w:r>
          </w:p>
        </w:tc>
        <w:tc>
          <w:tcPr>
            <w:tcW w:w="1607" w:type="dxa"/>
            <w:vAlign w:val="center"/>
          </w:tcPr>
          <w:p>
            <w:pPr>
              <w:pStyle w:val="3"/>
              <w:numPr>
                <w:ilvl w:val="0"/>
                <w:numId w:val="1"/>
              </w:numPr>
              <w:adjustRightInd w:val="0"/>
              <w:snapToGrid w:val="0"/>
              <w:spacing w:after="0"/>
              <w:jc w:val="center"/>
              <w:rPr>
                <w:rFonts w:cs="Times New Roman" w:eastAsiaTheme="minorEastAsia"/>
                <w:bCs/>
                <w:kern w:val="2"/>
                <w:lang w:eastAsia="zh-CN" w:bidi="ar-SA"/>
              </w:rPr>
            </w:pPr>
            <w:r>
              <w:rPr>
                <w:rFonts w:cs="Times New Roman" w:eastAsiaTheme="minorEastAsia"/>
                <w:kern w:val="2"/>
                <w:lang w:eastAsia="zh-CN" w:bidi="ar-SA"/>
              </w:rPr>
              <w:t>紫金矿业</w:t>
            </w:r>
          </w:p>
        </w:tc>
        <w:tc>
          <w:tcPr>
            <w:tcW w:w="6093" w:type="dxa"/>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ascii="Times New Roman" w:hAnsi="Times New Roman" w:eastAsiaTheme="minorEastAsia"/>
                <w:bCs/>
                <w:sz w:val="24"/>
                <w:szCs w:val="24"/>
                <w:lang w:val="en-GB"/>
              </w:rPr>
            </w:pPr>
            <w:r>
              <w:rPr>
                <w:rFonts w:ascii="Times New Roman" w:hAnsi="Times New Roman" w:eastAsiaTheme="minorEastAsia"/>
                <w:sz w:val="24"/>
                <w:szCs w:val="24"/>
              </w:rPr>
              <w:t>紫金矿业于2000年9月6日成立于福建省</w:t>
            </w:r>
            <w:r>
              <w:rPr>
                <w:rFonts w:hint="eastAsia" w:ascii="Times New Roman" w:hAnsi="Times New Roman" w:eastAsiaTheme="minorEastAsia"/>
                <w:sz w:val="24"/>
                <w:szCs w:val="24"/>
              </w:rPr>
              <w:t>龙岩市</w:t>
            </w:r>
            <w:r>
              <w:rPr>
                <w:rFonts w:ascii="Times New Roman" w:hAnsi="Times New Roman" w:eastAsiaTheme="minorEastAsia"/>
                <w:sz w:val="24"/>
                <w:szCs w:val="24"/>
              </w:rPr>
              <w:t>，为上海证券交易所及香港联合交易所上市公司，主要业务为</w:t>
            </w:r>
            <w:bookmarkStart w:id="0" w:name="_GoBack"/>
            <w:bookmarkEnd w:id="0"/>
            <w:r>
              <w:rPr>
                <w:rFonts w:ascii="Times New Roman" w:hAnsi="Times New Roman" w:eastAsiaTheme="minorEastAsia"/>
                <w:bCs/>
                <w:sz w:val="24"/>
                <w:szCs w:val="24"/>
                <w:lang w:val="en-GB"/>
              </w:rPr>
              <w:t>矿产资源的勘查、开发及工程设计、技术应用研究</w:t>
            </w:r>
            <w:r>
              <w:rPr>
                <w:rFonts w:hint="eastAsia" w:ascii="Times New Roman" w:hAnsi="Times New Roman" w:eastAsiaTheme="minorEastAsia"/>
                <w:bCs/>
                <w:sz w:val="24"/>
                <w:szCs w:val="24"/>
                <w:lang w:val="en-GB"/>
              </w:rPr>
              <w:t>等</w:t>
            </w:r>
            <w:r>
              <w:rPr>
                <w:rFonts w:ascii="Times New Roman" w:hAnsi="Times New Roman" w:eastAsiaTheme="minorEastAsia"/>
                <w:bCs/>
                <w:sz w:val="24"/>
                <w:szCs w:val="24"/>
                <w:lang w:val="en-GB"/>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ascii="Times New Roman" w:hAnsi="Times New Roman" w:eastAsiaTheme="minorEastAsia"/>
                <w:bCs/>
                <w:sz w:val="24"/>
                <w:szCs w:val="24"/>
                <w:lang w:val="en-GB"/>
              </w:rPr>
            </w:pPr>
            <w:r>
              <w:rPr>
                <w:rFonts w:ascii="Times New Roman" w:hAnsi="Times New Roman" w:eastAsiaTheme="minorEastAsia"/>
                <w:bCs/>
                <w:sz w:val="24"/>
                <w:szCs w:val="24"/>
                <w:lang w:val="en-GB"/>
              </w:rPr>
              <w:t>紫金矿业最终控制人为</w:t>
            </w:r>
            <w:r>
              <w:rPr>
                <w:rFonts w:hint="eastAsia" w:ascii="Times New Roman" w:hAnsi="Times New Roman" w:eastAsiaTheme="minorEastAsia"/>
                <w:bCs/>
                <w:sz w:val="24"/>
                <w:szCs w:val="24"/>
                <w:lang w:val="en-GB"/>
              </w:rPr>
              <w:t>闽西兴杭国有资产投资经营有限公司，主要业务为</w:t>
            </w:r>
            <w:r>
              <w:rPr>
                <w:rFonts w:ascii="Times New Roman" w:hAnsi="Times New Roman" w:eastAsiaTheme="minorEastAsia"/>
                <w:bCs/>
                <w:sz w:val="24"/>
                <w:szCs w:val="24"/>
              </w:rPr>
              <w:t>国有资产的经营与管理</w:t>
            </w:r>
            <w:r>
              <w:rPr>
                <w:rFonts w:hint="eastAsia" w:ascii="Times New Roman" w:hAnsi="Times New Roman" w:eastAsiaTheme="minorEastAsia"/>
                <w:bCs/>
                <w:sz w:val="24"/>
                <w:szCs w:val="24"/>
              </w:rPr>
              <w:t>、</w:t>
            </w:r>
            <w:r>
              <w:rPr>
                <w:rFonts w:ascii="Times New Roman" w:hAnsi="Times New Roman" w:eastAsiaTheme="minorEastAsia"/>
                <w:bCs/>
                <w:sz w:val="24"/>
                <w:szCs w:val="24"/>
              </w:rPr>
              <w:t>项目投资</w:t>
            </w:r>
            <w:r>
              <w:rPr>
                <w:rFonts w:hint="eastAsia" w:ascii="Times New Roman" w:hAnsi="Times New Roman" w:eastAsiaTheme="minorEastAsia"/>
                <w:bCs/>
                <w:sz w:val="24"/>
                <w:szCs w:val="24"/>
              </w:rPr>
              <w:t>、</w:t>
            </w:r>
            <w:r>
              <w:rPr>
                <w:rFonts w:ascii="Times New Roman" w:hAnsi="Times New Roman" w:eastAsiaTheme="minorEastAsia"/>
                <w:bCs/>
                <w:sz w:val="24"/>
                <w:szCs w:val="24"/>
              </w:rPr>
              <w:t>金属及金属矿</w:t>
            </w:r>
            <w:r>
              <w:rPr>
                <w:rFonts w:hint="eastAsia" w:ascii="Times New Roman" w:hAnsi="Times New Roman" w:eastAsiaTheme="minorEastAsia"/>
                <w:bCs/>
                <w:sz w:val="24"/>
                <w:szCs w:val="24"/>
              </w:rPr>
              <w:t>等</w:t>
            </w:r>
            <w:r>
              <w:rPr>
                <w:rFonts w:ascii="Times New Roman" w:hAnsi="Times New Roman" w:eastAsiaTheme="minorEastAsia"/>
                <w:bCs/>
                <w:sz w:val="24"/>
                <w:szCs w:val="24"/>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3"/>
              <w:adjustRightInd w:val="0"/>
              <w:snapToGrid w:val="0"/>
              <w:spacing w:after="0"/>
              <w:rPr>
                <w:rFonts w:cs="Times New Roman" w:eastAsiaTheme="minorEastAsia"/>
                <w:bCs/>
                <w:color w:val="000000"/>
                <w:lang w:val="en-US" w:eastAsia="zh-CN"/>
              </w:rPr>
            </w:pPr>
          </w:p>
        </w:tc>
        <w:tc>
          <w:tcPr>
            <w:tcW w:w="1607" w:type="dxa"/>
            <w:vAlign w:val="center"/>
          </w:tcPr>
          <w:p>
            <w:pPr>
              <w:pStyle w:val="3"/>
              <w:numPr>
                <w:ilvl w:val="0"/>
                <w:numId w:val="1"/>
              </w:numPr>
              <w:adjustRightInd w:val="0"/>
              <w:snapToGrid w:val="0"/>
              <w:spacing w:after="0"/>
              <w:jc w:val="center"/>
              <w:rPr>
                <w:rFonts w:cs="Times New Roman" w:eastAsiaTheme="minorEastAsia"/>
                <w:bCs/>
                <w:color w:val="000000"/>
                <w:lang w:eastAsia="zh-CN"/>
              </w:rPr>
            </w:pPr>
            <w:r>
              <w:rPr>
                <w:rFonts w:cs="Times New Roman" w:eastAsiaTheme="minorEastAsia"/>
                <w:kern w:val="2"/>
                <w:lang w:eastAsia="zh-CN" w:bidi="ar-SA"/>
              </w:rPr>
              <w:t>藏格矿业</w:t>
            </w:r>
          </w:p>
        </w:tc>
        <w:tc>
          <w:tcPr>
            <w:tcW w:w="6093" w:type="dxa"/>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ascii="Times New Roman" w:hAnsi="Times New Roman" w:eastAsiaTheme="minorEastAsia"/>
                <w:bCs/>
                <w:sz w:val="24"/>
                <w:szCs w:val="24"/>
                <w:lang w:val="en-GB"/>
              </w:rPr>
            </w:pPr>
            <w:r>
              <w:rPr>
                <w:rFonts w:ascii="Times New Roman" w:hAnsi="Times New Roman" w:eastAsiaTheme="minorEastAsia"/>
                <w:sz w:val="24"/>
                <w:szCs w:val="24"/>
              </w:rPr>
              <w:t>藏格矿业于1996年6月25日成立于青海省格尔木市，为深圳证券交易所上市公司，主要从事矿产资源的开发、生产与销售业务</w:t>
            </w:r>
            <w:r>
              <w:rPr>
                <w:rFonts w:hint="eastAsia" w:ascii="Times New Roman" w:hAnsi="Times New Roman" w:eastAsiaTheme="minorEastAsia"/>
                <w:sz w:val="24"/>
                <w:szCs w:val="24"/>
              </w:rPr>
              <w:t>等</w:t>
            </w:r>
            <w:r>
              <w:rPr>
                <w:rFonts w:ascii="Times New Roman" w:hAnsi="Times New Roman" w:eastAsiaTheme="minorEastAsia"/>
                <w:bCs/>
                <w:sz w:val="24"/>
                <w:szCs w:val="24"/>
                <w:lang w:val="en-GB"/>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ascii="Times New Roman" w:hAnsi="Times New Roman" w:eastAsiaTheme="minorEastAsia"/>
                <w:bCs/>
                <w:sz w:val="24"/>
                <w:szCs w:val="24"/>
                <w:lang w:val="en-GB"/>
              </w:rPr>
            </w:pPr>
            <w:r>
              <w:rPr>
                <w:rFonts w:ascii="Times New Roman" w:hAnsi="Times New Roman" w:eastAsiaTheme="minorEastAsia"/>
                <w:bCs/>
                <w:sz w:val="24"/>
                <w:szCs w:val="24"/>
                <w:lang w:val="en-GB"/>
              </w:rPr>
              <w:t>藏格矿业最终控制人为自然人，主要</w:t>
            </w:r>
            <w:r>
              <w:rPr>
                <w:rFonts w:hint="eastAsia" w:ascii="Times New Roman" w:hAnsi="Times New Roman" w:eastAsiaTheme="minorEastAsia"/>
                <w:bCs/>
                <w:sz w:val="24"/>
                <w:szCs w:val="24"/>
                <w:lang w:val="en-GB"/>
              </w:rPr>
              <w:t>通过藏格矿业开展业务</w:t>
            </w:r>
            <w:r>
              <w:rPr>
                <w:rFonts w:ascii="Times New Roman" w:hAnsi="Times New Roman" w:eastAsiaTheme="minorEastAsia"/>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3"/>
              <w:adjustRightInd w:val="0"/>
              <w:snapToGrid w:val="0"/>
              <w:spacing w:after="0"/>
              <w:rPr>
                <w:rFonts w:cs="Times New Roman" w:eastAsiaTheme="minorEastAsia"/>
                <w:bCs/>
                <w:color w:val="000000"/>
                <w:lang w:val="en-US" w:eastAsia="zh-CN"/>
              </w:rPr>
            </w:pPr>
            <w:r>
              <w:rPr>
                <w:rFonts w:hint="eastAsia" w:ascii="宋体" w:hAnsi="宋体" w:cs="宋体"/>
                <w:bCs/>
                <w:color w:val="000000"/>
                <w:lang w:eastAsia="zh-CN"/>
              </w:rPr>
              <w:t>简易案件理由（可以单选，也可以多选）</w:t>
            </w:r>
          </w:p>
        </w:tc>
        <w:tc>
          <w:tcPr>
            <w:tcW w:w="7700" w:type="dxa"/>
            <w:gridSpan w:val="2"/>
            <w:vAlign w:val="center"/>
          </w:tcPr>
          <w:p>
            <w:pPr>
              <w:pStyle w:val="3"/>
              <w:adjustRightInd w:val="0"/>
              <w:snapToGrid w:val="0"/>
              <w:spacing w:after="0"/>
              <w:rPr>
                <w:rFonts w:cs="Times New Roman" w:eastAsiaTheme="minorEastAsia"/>
                <w:bCs/>
                <w:color w:val="000000"/>
                <w:lang w:val="en-US" w:eastAsia="zh-CN"/>
              </w:rPr>
            </w:pPr>
            <w:r>
              <w:rPr>
                <w:rFonts w:cs="Times New Roman" w:eastAsiaTheme="minorEastAsia"/>
                <w:bCs/>
                <w:color w:val="000000"/>
                <w:lang w:eastAsia="zh-CN"/>
              </w:rPr>
              <w:sym w:font="Wingdings" w:char="00A8"/>
            </w:r>
            <w:r>
              <w:rPr>
                <w:rFonts w:cs="Times New Roman" w:eastAsiaTheme="minorEastAsia"/>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3"/>
              <w:adjustRightInd w:val="0"/>
              <w:snapToGrid w:val="0"/>
              <w:spacing w:after="0"/>
              <w:rPr>
                <w:rFonts w:cs="Times New Roman" w:eastAsiaTheme="minorEastAsia"/>
                <w:bCs/>
                <w:color w:val="000000"/>
                <w:lang w:val="en-US" w:eastAsia="zh-CN"/>
              </w:rPr>
            </w:pPr>
          </w:p>
        </w:tc>
        <w:tc>
          <w:tcPr>
            <w:tcW w:w="7700" w:type="dxa"/>
            <w:gridSpan w:val="2"/>
            <w:vAlign w:val="center"/>
          </w:tcPr>
          <w:p>
            <w:pPr>
              <w:pStyle w:val="3"/>
              <w:adjustRightInd w:val="0"/>
              <w:snapToGrid w:val="0"/>
              <w:spacing w:after="0"/>
              <w:rPr>
                <w:rFonts w:cs="Times New Roman" w:eastAsiaTheme="minorEastAsia"/>
                <w:bCs/>
                <w:color w:val="000000"/>
                <w:lang w:val="en-US" w:eastAsia="zh-CN"/>
              </w:rPr>
            </w:pPr>
            <w:r>
              <w:rPr>
                <w:rFonts w:cs="Times New Roman" w:eastAsiaTheme="minorEastAsia"/>
                <w:bCs/>
                <w:color w:val="000000"/>
                <w:lang w:eastAsia="zh-CN"/>
              </w:rPr>
              <w:sym w:font="Wingdings" w:char="00A8"/>
            </w:r>
            <w:r>
              <w:rPr>
                <w:rFonts w:cs="Times New Roman" w:eastAsiaTheme="minorEastAsia"/>
                <w:bCs/>
                <w:color w:val="000000"/>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3"/>
              <w:adjustRightInd w:val="0"/>
              <w:snapToGrid w:val="0"/>
              <w:spacing w:after="0"/>
              <w:rPr>
                <w:rFonts w:cs="Times New Roman" w:eastAsiaTheme="minorEastAsia"/>
                <w:bCs/>
                <w:color w:val="000000"/>
                <w:lang w:val="en-US" w:eastAsia="zh-CN"/>
              </w:rPr>
            </w:pPr>
          </w:p>
        </w:tc>
        <w:tc>
          <w:tcPr>
            <w:tcW w:w="7700" w:type="dxa"/>
            <w:gridSpan w:val="2"/>
            <w:vAlign w:val="center"/>
          </w:tcPr>
          <w:p>
            <w:pPr>
              <w:pStyle w:val="3"/>
              <w:adjustRightInd w:val="0"/>
              <w:snapToGrid w:val="0"/>
              <w:spacing w:after="0"/>
              <w:rPr>
                <w:rFonts w:cs="Times New Roman" w:eastAsiaTheme="minorEastAsia"/>
                <w:bCs/>
                <w:color w:val="000000"/>
                <w:lang w:val="en-US" w:eastAsia="zh-CN"/>
              </w:rPr>
            </w:pPr>
            <w:r>
              <w:rPr>
                <w:rFonts w:cs="Times New Roman" w:eastAsiaTheme="minorEastAsia"/>
                <w:bCs/>
                <w:color w:val="000000"/>
                <w:lang w:eastAsia="zh-CN"/>
              </w:rPr>
              <w:sym w:font="Wingdings" w:char="00FE"/>
            </w:r>
            <w:r>
              <w:rPr>
                <w:rFonts w:cs="Times New Roman" w:eastAsiaTheme="minorEastAsia"/>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pStyle w:val="3"/>
              <w:adjustRightInd w:val="0"/>
              <w:snapToGrid w:val="0"/>
              <w:spacing w:after="0"/>
              <w:rPr>
                <w:rFonts w:cs="Times New Roman" w:eastAsiaTheme="minorEastAsia"/>
                <w:bCs/>
                <w:color w:val="000000"/>
                <w:lang w:val="en-US" w:eastAsia="zh-CN"/>
              </w:rPr>
            </w:pPr>
          </w:p>
        </w:tc>
        <w:tc>
          <w:tcPr>
            <w:tcW w:w="7700" w:type="dxa"/>
            <w:gridSpan w:val="2"/>
            <w:vAlign w:val="center"/>
          </w:tcPr>
          <w:p>
            <w:pPr>
              <w:pStyle w:val="3"/>
              <w:adjustRightInd w:val="0"/>
              <w:snapToGrid w:val="0"/>
              <w:spacing w:after="0"/>
              <w:rPr>
                <w:rFonts w:cs="Times New Roman" w:eastAsiaTheme="minorEastAsia"/>
                <w:bCs/>
                <w:color w:val="000000"/>
                <w:lang w:val="en-US" w:eastAsia="zh-CN"/>
              </w:rPr>
            </w:pPr>
            <w:r>
              <w:rPr>
                <w:rFonts w:cs="Times New Roman" w:eastAsiaTheme="minorEastAsia"/>
                <w:bCs/>
                <w:color w:val="000000"/>
                <w:lang w:eastAsia="zh-CN"/>
              </w:rPr>
              <w:sym w:font="Wingdings" w:char="00A8"/>
            </w:r>
            <w:r>
              <w:rPr>
                <w:rFonts w:cs="Times New Roman" w:eastAsiaTheme="minorEastAsia"/>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3"/>
              <w:adjustRightInd w:val="0"/>
              <w:snapToGrid w:val="0"/>
              <w:spacing w:after="0"/>
              <w:rPr>
                <w:rFonts w:cs="Times New Roman" w:eastAsiaTheme="minorEastAsia"/>
                <w:bCs/>
                <w:color w:val="000000"/>
                <w:lang w:val="en-US" w:eastAsia="zh-CN"/>
              </w:rPr>
            </w:pPr>
          </w:p>
        </w:tc>
        <w:tc>
          <w:tcPr>
            <w:tcW w:w="7700" w:type="dxa"/>
            <w:gridSpan w:val="2"/>
            <w:vAlign w:val="center"/>
          </w:tcPr>
          <w:p>
            <w:pPr>
              <w:pStyle w:val="3"/>
              <w:adjustRightInd w:val="0"/>
              <w:snapToGrid w:val="0"/>
              <w:spacing w:after="0"/>
              <w:rPr>
                <w:rFonts w:cs="Times New Roman" w:eastAsiaTheme="minorEastAsia"/>
                <w:bCs/>
                <w:color w:val="000000"/>
                <w:lang w:val="en-US" w:eastAsia="zh-CN"/>
              </w:rPr>
            </w:pPr>
            <w:r>
              <w:rPr>
                <w:rFonts w:cs="Times New Roman" w:eastAsiaTheme="minorEastAsia"/>
                <w:bCs/>
                <w:color w:val="000000"/>
                <w:lang w:eastAsia="zh-CN"/>
              </w:rPr>
              <w:sym w:font="Wingdings" w:char="00A8"/>
            </w:r>
            <w:r>
              <w:rPr>
                <w:rFonts w:cs="Times New Roman" w:eastAsiaTheme="minorEastAsia"/>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3"/>
              <w:adjustRightInd w:val="0"/>
              <w:snapToGrid w:val="0"/>
              <w:spacing w:after="0"/>
              <w:rPr>
                <w:rFonts w:cs="Times New Roman" w:eastAsiaTheme="minorEastAsia"/>
                <w:bCs/>
                <w:color w:val="000000"/>
                <w:lang w:val="en-US" w:eastAsia="zh-CN"/>
              </w:rPr>
            </w:pPr>
          </w:p>
        </w:tc>
        <w:tc>
          <w:tcPr>
            <w:tcW w:w="7700" w:type="dxa"/>
            <w:gridSpan w:val="2"/>
            <w:vAlign w:val="center"/>
          </w:tcPr>
          <w:p>
            <w:pPr>
              <w:pStyle w:val="3"/>
              <w:adjustRightInd w:val="0"/>
              <w:snapToGrid w:val="0"/>
              <w:spacing w:after="0"/>
              <w:rPr>
                <w:rFonts w:cs="Times New Roman" w:eastAsiaTheme="minorEastAsia"/>
                <w:bCs/>
                <w:color w:val="000000"/>
                <w:lang w:val="en-US" w:eastAsia="zh-CN"/>
              </w:rPr>
            </w:pPr>
            <w:r>
              <w:rPr>
                <w:rFonts w:cs="Times New Roman" w:eastAsiaTheme="minorEastAsia"/>
                <w:bCs/>
                <w:color w:val="000000"/>
                <w:lang w:eastAsia="zh-CN"/>
              </w:rPr>
              <w:sym w:font="Wingdings" w:char="00A8"/>
            </w:r>
            <w:r>
              <w:rPr>
                <w:rFonts w:cs="Times New Roman" w:eastAsiaTheme="minorEastAsia"/>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940" w:type="dxa"/>
            <w:shd w:val="clear" w:color="auto" w:fill="D9D9D9"/>
            <w:vAlign w:val="center"/>
          </w:tcPr>
          <w:p>
            <w:pPr>
              <w:pStyle w:val="3"/>
              <w:adjustRightInd w:val="0"/>
              <w:snapToGrid w:val="0"/>
              <w:spacing w:after="0"/>
              <w:rPr>
                <w:rFonts w:cs="Times New Roman" w:eastAsiaTheme="minorEastAsia"/>
                <w:bCs/>
                <w:color w:val="000000"/>
                <w:lang w:val="en-US" w:eastAsia="zh-CN"/>
              </w:rPr>
            </w:pPr>
            <w:r>
              <w:rPr>
                <w:rFonts w:hint="eastAsia" w:ascii="宋体" w:hAnsi="宋体" w:cs="宋体"/>
                <w:bCs/>
                <w:color w:val="000000"/>
              </w:rPr>
              <w:t>备注</w:t>
            </w:r>
          </w:p>
        </w:tc>
        <w:tc>
          <w:tcPr>
            <w:tcW w:w="7700" w:type="dxa"/>
            <w:gridSpan w:val="2"/>
            <w:vAlign w:val="center"/>
          </w:tcPr>
          <w:p>
            <w:pPr>
              <w:pStyle w:val="3"/>
              <w:adjustRightInd w:val="0"/>
              <w:snapToGrid w:val="0"/>
              <w:spacing w:after="0"/>
              <w:rPr>
                <w:rFonts w:cs="Times New Roman" w:eastAsiaTheme="minorEastAsia"/>
                <w:b/>
                <w:color w:val="000000"/>
                <w:lang w:eastAsia="zh-CN"/>
              </w:rPr>
            </w:pPr>
            <w:r>
              <w:rPr>
                <w:rFonts w:hint="eastAsia" w:cs="Times New Roman" w:eastAsiaTheme="minorEastAsia"/>
                <w:b/>
                <w:color w:val="000000"/>
                <w:lang w:eastAsia="zh-CN"/>
              </w:rPr>
              <w:t>混合集中</w:t>
            </w:r>
            <w:r>
              <w:rPr>
                <w:rFonts w:cs="Times New Roman" w:eastAsiaTheme="minorEastAsia"/>
                <w:b/>
                <w:color w:val="000000"/>
                <w:lang w:eastAsia="zh-CN"/>
              </w:rPr>
              <w:t>：</w:t>
            </w:r>
          </w:p>
          <w:p>
            <w:pPr>
              <w:pStyle w:val="3"/>
              <w:keepNext w:val="0"/>
              <w:keepLines w:val="0"/>
              <w:pageBreakBefore w:val="0"/>
              <w:kinsoku/>
              <w:wordWrap/>
              <w:overflowPunct/>
              <w:topLinePunct w:val="0"/>
              <w:autoSpaceDE/>
              <w:autoSpaceDN/>
              <w:bidi w:val="0"/>
              <w:adjustRightInd w:val="0"/>
              <w:snapToGrid w:val="0"/>
              <w:spacing w:after="0" w:line="560" w:lineRule="exact"/>
              <w:textAlignment w:val="auto"/>
              <w:rPr>
                <w:rFonts w:cs="Times New Roman" w:eastAsiaTheme="minorEastAsia"/>
                <w:bCs/>
                <w:color w:val="000000"/>
                <w:lang w:eastAsia="zh-CN"/>
              </w:rPr>
            </w:pPr>
            <w:r>
              <w:rPr>
                <w:rFonts w:cs="Times New Roman" w:eastAsiaTheme="minorEastAsia"/>
                <w:bCs/>
                <w:color w:val="000000"/>
                <w:lang w:eastAsia="zh-CN"/>
              </w:rPr>
              <w:t>2024年全球碳酸锂市场：</w:t>
            </w:r>
          </w:p>
          <w:p>
            <w:pPr>
              <w:keepNext w:val="0"/>
              <w:keepLines w:val="0"/>
              <w:pageBreakBefore w:val="0"/>
              <w:kinsoku/>
              <w:wordWrap/>
              <w:overflowPunct/>
              <w:topLinePunct w:val="0"/>
              <w:autoSpaceDE/>
              <w:autoSpaceDN/>
              <w:bidi w:val="0"/>
              <w:spacing w:line="560" w:lineRule="exact"/>
              <w:textAlignment w:val="auto"/>
              <w:rPr>
                <w:rFonts w:ascii="Times New Roman" w:hAnsi="Times New Roman" w:eastAsiaTheme="minorEastAsia"/>
                <w:sz w:val="24"/>
                <w:szCs w:val="24"/>
              </w:rPr>
            </w:pPr>
            <w:r>
              <w:rPr>
                <w:rFonts w:ascii="Times New Roman" w:hAnsi="Times New Roman" w:eastAsiaTheme="minorEastAsia"/>
                <w:sz w:val="24"/>
                <w:szCs w:val="24"/>
              </w:rPr>
              <w:t>藏格矿业：0-5%</w:t>
            </w:r>
          </w:p>
          <w:p>
            <w:pPr>
              <w:keepNext w:val="0"/>
              <w:keepLines w:val="0"/>
              <w:pageBreakBefore w:val="0"/>
              <w:kinsoku/>
              <w:wordWrap/>
              <w:overflowPunct/>
              <w:topLinePunct w:val="0"/>
              <w:autoSpaceDE/>
              <w:autoSpaceDN/>
              <w:bidi w:val="0"/>
              <w:spacing w:line="560" w:lineRule="exact"/>
              <w:textAlignment w:val="auto"/>
              <w:rPr>
                <w:rFonts w:ascii="Times New Roman" w:hAnsi="Times New Roman" w:eastAsiaTheme="minorEastAsia"/>
                <w:sz w:val="24"/>
                <w:szCs w:val="24"/>
              </w:rPr>
            </w:pPr>
            <w:r>
              <w:rPr>
                <w:rFonts w:hint="eastAsia" w:ascii="Times New Roman" w:hAnsi="Times New Roman" w:eastAsiaTheme="minorEastAsia"/>
                <w:sz w:val="24"/>
                <w:szCs w:val="24"/>
              </w:rPr>
              <w:t>2024年中国境内碳酸锂市场：</w:t>
            </w:r>
          </w:p>
          <w:p>
            <w:pPr>
              <w:keepNext w:val="0"/>
              <w:keepLines w:val="0"/>
              <w:pageBreakBefore w:val="0"/>
              <w:kinsoku/>
              <w:wordWrap/>
              <w:overflowPunct/>
              <w:topLinePunct w:val="0"/>
              <w:autoSpaceDE/>
              <w:autoSpaceDN/>
              <w:bidi w:val="0"/>
              <w:spacing w:line="560" w:lineRule="exact"/>
              <w:textAlignment w:val="auto"/>
              <w:rPr>
                <w:rFonts w:ascii="Times New Roman" w:hAnsi="Times New Roman" w:eastAsiaTheme="minorEastAsia"/>
                <w:sz w:val="24"/>
                <w:szCs w:val="24"/>
              </w:rPr>
            </w:pPr>
            <w:r>
              <w:rPr>
                <w:rFonts w:ascii="Times New Roman" w:hAnsi="Times New Roman" w:eastAsiaTheme="minorEastAsia"/>
                <w:sz w:val="24"/>
                <w:szCs w:val="24"/>
              </w:rPr>
              <w:t>藏格矿业：0-5%</w:t>
            </w:r>
          </w:p>
          <w:p>
            <w:pPr>
              <w:pStyle w:val="3"/>
              <w:adjustRightInd w:val="0"/>
              <w:snapToGrid w:val="0"/>
              <w:spacing w:after="0"/>
              <w:rPr>
                <w:rFonts w:cs="Times New Roman" w:eastAsiaTheme="minorEastAsia"/>
                <w:bCs/>
                <w:color w:val="000000"/>
                <w:lang w:val="en-US" w:eastAsia="zh-CN"/>
              </w:rPr>
            </w:pPr>
          </w:p>
        </w:tc>
      </w:tr>
    </w:tbl>
    <w:p>
      <w:pPr>
        <w:pStyle w:val="3"/>
        <w:adjustRightInd w:val="0"/>
        <w:snapToGrid w:val="0"/>
        <w:spacing w:after="0"/>
        <w:rPr>
          <w:rFonts w:eastAsia="仿宋" w:cs="Times New Roman"/>
          <w:b/>
          <w:color w:val="000000"/>
          <w:lang w:eastAsia="zh-CN"/>
        </w:rPr>
      </w:pPr>
    </w:p>
    <w:p>
      <w:pPr>
        <w:rPr>
          <w:rFonts w:ascii="Times New Roman" w:hAnsi="Times New Roman" w:eastAsia="仿宋"/>
          <w:sz w:val="24"/>
          <w:szCs w:val="24"/>
        </w:rPr>
      </w:pPr>
    </w:p>
    <w:sectPr>
      <w:footerReference r:id="rId4" w:type="first"/>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plified Arabic">
    <w:altName w:val="DejaVu Sans"/>
    <w:panose1 w:val="00000000000000000000"/>
    <w:charset w:val="B2"/>
    <w:family w:val="roman"/>
    <w:pitch w:val="default"/>
    <w:sig w:usb0="00000000" w:usb1="00000000" w:usb2="00000008" w:usb3="00000000" w:csb0="0000004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right" w:pos="8300"/>
      </w:tabs>
      <w:rPr>
        <w:rFonts w:ascii="Times New Roman" w:hAnsi="Times New Roman"/>
        <w:sz w:val="15"/>
      </w:rPr>
    </w:pPr>
    <w:r>
      <w:rPr>
        <w:rFonts w:ascii="Times New Roman" w:hAnsi="Times New Roman"/>
        <w:sz w:val="14"/>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p>
    <w:pPr>
      <w:tabs>
        <w:tab w:val="right" w:pos="8300"/>
      </w:tabs>
      <w:rPr>
        <w:rFonts w:ascii="Times New Roman" w:hAnsi="Times New Roman"/>
        <w:sz w:val="15"/>
      </w:rPr>
    </w:pPr>
    <w:r>
      <w:rPr>
        <w:rFonts w:ascii="Times New Roman" w:hAnsi="Times New Roman"/>
        <w:sz w:val="14"/>
      </w:rPr>
      <w:fldChar w:fldCharType="begin"/>
    </w:r>
    <w:r>
      <w:rPr>
        <w:rFonts w:ascii="Times New Roman" w:hAnsi="Times New Roman"/>
        <w:sz w:val="14"/>
      </w:rPr>
      <w:instrText xml:space="preserve"> DOCPROPERTY DPWPathText \* MERGEFORMAT </w:instrText>
    </w:r>
    <w:r>
      <w:rPr>
        <w:rFonts w:ascii="Times New Roman" w:hAnsi="Times New Roman"/>
        <w:sz w:val="14"/>
      </w:rPr>
      <w:fldChar w:fldCharType="separate"/>
    </w:r>
    <w:r>
      <w:rPr>
        <w:rFonts w:ascii="Times New Roman" w:hAnsi="Times New Roman"/>
        <w:sz w:val="14"/>
      </w:rPr>
      <w:t>#97717177v5</w:t>
    </w:r>
    <w:r>
      <w:rPr>
        <w:rFonts w:ascii="Times New Roman" w:hAnsi="Times New Roman"/>
        <w:sz w:val="14"/>
      </w:rPr>
      <w:fldChar w:fldCharType="end"/>
    </w:r>
    <w:r>
      <w:rPr>
        <w:rFonts w:ascii="Times New Roman" w:hAnsi="Times New Roman"/>
        <w:sz w:val="14"/>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8B46E6"/>
    <w:multiLevelType w:val="multilevel"/>
    <w:tmpl w:val="698B46E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YxMDQGAiMjS1MDYyUdpeDU4uLM/DyQAsNaAAxkURMsAAAA"/>
  </w:docVars>
  <w:rsids>
    <w:rsidRoot w:val="00074D3D"/>
    <w:rsid w:val="00010F64"/>
    <w:rsid w:val="000136AE"/>
    <w:rsid w:val="0001697C"/>
    <w:rsid w:val="000240FA"/>
    <w:rsid w:val="00035FBA"/>
    <w:rsid w:val="00036E43"/>
    <w:rsid w:val="00040EE9"/>
    <w:rsid w:val="00050F13"/>
    <w:rsid w:val="0005556E"/>
    <w:rsid w:val="000604A9"/>
    <w:rsid w:val="00074D3D"/>
    <w:rsid w:val="00082A31"/>
    <w:rsid w:val="00092C79"/>
    <w:rsid w:val="000A0AA4"/>
    <w:rsid w:val="000A2D7D"/>
    <w:rsid w:val="000A50B3"/>
    <w:rsid w:val="000C5DCE"/>
    <w:rsid w:val="000F04BC"/>
    <w:rsid w:val="000F25B0"/>
    <w:rsid w:val="001102CC"/>
    <w:rsid w:val="001118B2"/>
    <w:rsid w:val="001151F7"/>
    <w:rsid w:val="00115EDD"/>
    <w:rsid w:val="0012433D"/>
    <w:rsid w:val="001330CB"/>
    <w:rsid w:val="00134D63"/>
    <w:rsid w:val="00144166"/>
    <w:rsid w:val="001531F0"/>
    <w:rsid w:val="00172C77"/>
    <w:rsid w:val="00182717"/>
    <w:rsid w:val="001921BD"/>
    <w:rsid w:val="001A2E7E"/>
    <w:rsid w:val="001A71C0"/>
    <w:rsid w:val="001A7487"/>
    <w:rsid w:val="001C5A27"/>
    <w:rsid w:val="001E5EC9"/>
    <w:rsid w:val="001F28A1"/>
    <w:rsid w:val="001F6140"/>
    <w:rsid w:val="001F64D6"/>
    <w:rsid w:val="00200C41"/>
    <w:rsid w:val="00202125"/>
    <w:rsid w:val="00213334"/>
    <w:rsid w:val="00217887"/>
    <w:rsid w:val="00222ECC"/>
    <w:rsid w:val="00223618"/>
    <w:rsid w:val="00284FAE"/>
    <w:rsid w:val="002875EE"/>
    <w:rsid w:val="00293CDB"/>
    <w:rsid w:val="002A1561"/>
    <w:rsid w:val="002A17E2"/>
    <w:rsid w:val="002A27D5"/>
    <w:rsid w:val="002B3A6A"/>
    <w:rsid w:val="002C3658"/>
    <w:rsid w:val="002C4805"/>
    <w:rsid w:val="002C4B86"/>
    <w:rsid w:val="002C53D5"/>
    <w:rsid w:val="002C7949"/>
    <w:rsid w:val="002E582A"/>
    <w:rsid w:val="002E7C3C"/>
    <w:rsid w:val="002F0F31"/>
    <w:rsid w:val="002F730C"/>
    <w:rsid w:val="003047E0"/>
    <w:rsid w:val="0034412A"/>
    <w:rsid w:val="00363D45"/>
    <w:rsid w:val="00367DAA"/>
    <w:rsid w:val="00370A5E"/>
    <w:rsid w:val="0039111D"/>
    <w:rsid w:val="00395012"/>
    <w:rsid w:val="003A3C98"/>
    <w:rsid w:val="003A51E2"/>
    <w:rsid w:val="003B2B22"/>
    <w:rsid w:val="003B3A48"/>
    <w:rsid w:val="003C089C"/>
    <w:rsid w:val="003C3255"/>
    <w:rsid w:val="003C61E8"/>
    <w:rsid w:val="003D21EE"/>
    <w:rsid w:val="003D3BE6"/>
    <w:rsid w:val="003E03EC"/>
    <w:rsid w:val="003E075D"/>
    <w:rsid w:val="003E25D4"/>
    <w:rsid w:val="003E49BA"/>
    <w:rsid w:val="003E74D2"/>
    <w:rsid w:val="0043043C"/>
    <w:rsid w:val="00431894"/>
    <w:rsid w:val="00450606"/>
    <w:rsid w:val="00454413"/>
    <w:rsid w:val="00455312"/>
    <w:rsid w:val="00467AD0"/>
    <w:rsid w:val="0047223A"/>
    <w:rsid w:val="004826FA"/>
    <w:rsid w:val="004914EC"/>
    <w:rsid w:val="004D16CF"/>
    <w:rsid w:val="004D62E0"/>
    <w:rsid w:val="004D7723"/>
    <w:rsid w:val="004F26C2"/>
    <w:rsid w:val="005117A4"/>
    <w:rsid w:val="0051525B"/>
    <w:rsid w:val="00522B8F"/>
    <w:rsid w:val="00525194"/>
    <w:rsid w:val="005424C7"/>
    <w:rsid w:val="0055706A"/>
    <w:rsid w:val="005579FF"/>
    <w:rsid w:val="005648A5"/>
    <w:rsid w:val="00570F77"/>
    <w:rsid w:val="00584CF6"/>
    <w:rsid w:val="005A34C1"/>
    <w:rsid w:val="005A503D"/>
    <w:rsid w:val="005B1F0C"/>
    <w:rsid w:val="005B37E1"/>
    <w:rsid w:val="005D0340"/>
    <w:rsid w:val="005F174E"/>
    <w:rsid w:val="00600B0D"/>
    <w:rsid w:val="006064F9"/>
    <w:rsid w:val="00615A86"/>
    <w:rsid w:val="00620177"/>
    <w:rsid w:val="00622628"/>
    <w:rsid w:val="0062506C"/>
    <w:rsid w:val="00632F61"/>
    <w:rsid w:val="00632FBE"/>
    <w:rsid w:val="0065404B"/>
    <w:rsid w:val="0067329D"/>
    <w:rsid w:val="00675B31"/>
    <w:rsid w:val="00691CEC"/>
    <w:rsid w:val="006A3BC5"/>
    <w:rsid w:val="006A696B"/>
    <w:rsid w:val="006B2D53"/>
    <w:rsid w:val="006C6024"/>
    <w:rsid w:val="006D17DA"/>
    <w:rsid w:val="006D5291"/>
    <w:rsid w:val="006E23B6"/>
    <w:rsid w:val="006E33DF"/>
    <w:rsid w:val="006E48E6"/>
    <w:rsid w:val="006F5967"/>
    <w:rsid w:val="006F741C"/>
    <w:rsid w:val="007023CF"/>
    <w:rsid w:val="007122F7"/>
    <w:rsid w:val="00716957"/>
    <w:rsid w:val="007204C9"/>
    <w:rsid w:val="007274E7"/>
    <w:rsid w:val="007733E0"/>
    <w:rsid w:val="00782098"/>
    <w:rsid w:val="007C28D2"/>
    <w:rsid w:val="007C3FA2"/>
    <w:rsid w:val="007C6E34"/>
    <w:rsid w:val="007D41A5"/>
    <w:rsid w:val="007D65ED"/>
    <w:rsid w:val="007E6958"/>
    <w:rsid w:val="007F59DF"/>
    <w:rsid w:val="00800CB6"/>
    <w:rsid w:val="0081054C"/>
    <w:rsid w:val="0083472D"/>
    <w:rsid w:val="00835197"/>
    <w:rsid w:val="00835C35"/>
    <w:rsid w:val="00880FED"/>
    <w:rsid w:val="008C19D6"/>
    <w:rsid w:val="008D1232"/>
    <w:rsid w:val="008F494B"/>
    <w:rsid w:val="008F7237"/>
    <w:rsid w:val="00905FDE"/>
    <w:rsid w:val="00907516"/>
    <w:rsid w:val="00913269"/>
    <w:rsid w:val="009155F3"/>
    <w:rsid w:val="009171D6"/>
    <w:rsid w:val="0093225A"/>
    <w:rsid w:val="00936F6F"/>
    <w:rsid w:val="0093742C"/>
    <w:rsid w:val="00941F2C"/>
    <w:rsid w:val="00944B21"/>
    <w:rsid w:val="00962FE3"/>
    <w:rsid w:val="0096354D"/>
    <w:rsid w:val="00964685"/>
    <w:rsid w:val="00991E50"/>
    <w:rsid w:val="009A2476"/>
    <w:rsid w:val="009B7D70"/>
    <w:rsid w:val="009C7437"/>
    <w:rsid w:val="009D7DDA"/>
    <w:rsid w:val="009E15DD"/>
    <w:rsid w:val="009E69BB"/>
    <w:rsid w:val="009F417D"/>
    <w:rsid w:val="00A1346E"/>
    <w:rsid w:val="00A162D8"/>
    <w:rsid w:val="00A2578E"/>
    <w:rsid w:val="00A26171"/>
    <w:rsid w:val="00A52987"/>
    <w:rsid w:val="00A55DC7"/>
    <w:rsid w:val="00A607BA"/>
    <w:rsid w:val="00A703C2"/>
    <w:rsid w:val="00AA676A"/>
    <w:rsid w:val="00AC4A79"/>
    <w:rsid w:val="00AC7905"/>
    <w:rsid w:val="00AD6ED4"/>
    <w:rsid w:val="00AE2F8D"/>
    <w:rsid w:val="00AE438F"/>
    <w:rsid w:val="00AE5974"/>
    <w:rsid w:val="00AE5DF7"/>
    <w:rsid w:val="00AE6AF6"/>
    <w:rsid w:val="00AF45B6"/>
    <w:rsid w:val="00AF623D"/>
    <w:rsid w:val="00AF7030"/>
    <w:rsid w:val="00B13DE8"/>
    <w:rsid w:val="00B23C7E"/>
    <w:rsid w:val="00B246EB"/>
    <w:rsid w:val="00B25085"/>
    <w:rsid w:val="00B30C1E"/>
    <w:rsid w:val="00B33953"/>
    <w:rsid w:val="00B37F9E"/>
    <w:rsid w:val="00B411A3"/>
    <w:rsid w:val="00B514EC"/>
    <w:rsid w:val="00B54D86"/>
    <w:rsid w:val="00B76377"/>
    <w:rsid w:val="00B872E0"/>
    <w:rsid w:val="00B90789"/>
    <w:rsid w:val="00BA3A3C"/>
    <w:rsid w:val="00BA43AC"/>
    <w:rsid w:val="00BA6533"/>
    <w:rsid w:val="00BA7683"/>
    <w:rsid w:val="00BA7898"/>
    <w:rsid w:val="00BB5A1D"/>
    <w:rsid w:val="00BF0A8C"/>
    <w:rsid w:val="00BF41C5"/>
    <w:rsid w:val="00C14D43"/>
    <w:rsid w:val="00C32A64"/>
    <w:rsid w:val="00C32AA1"/>
    <w:rsid w:val="00C33AE6"/>
    <w:rsid w:val="00C345E3"/>
    <w:rsid w:val="00C56E0D"/>
    <w:rsid w:val="00C60F61"/>
    <w:rsid w:val="00C71C4F"/>
    <w:rsid w:val="00C724B4"/>
    <w:rsid w:val="00C77780"/>
    <w:rsid w:val="00C856D1"/>
    <w:rsid w:val="00C91B50"/>
    <w:rsid w:val="00CC1B6E"/>
    <w:rsid w:val="00CC2230"/>
    <w:rsid w:val="00CC4B26"/>
    <w:rsid w:val="00CD43E5"/>
    <w:rsid w:val="00CD4EC7"/>
    <w:rsid w:val="00CD51F6"/>
    <w:rsid w:val="00CE08D9"/>
    <w:rsid w:val="00CE44ED"/>
    <w:rsid w:val="00CE4E97"/>
    <w:rsid w:val="00D06B6A"/>
    <w:rsid w:val="00D114EB"/>
    <w:rsid w:val="00D33491"/>
    <w:rsid w:val="00DB5DCA"/>
    <w:rsid w:val="00DB74B8"/>
    <w:rsid w:val="00DC2052"/>
    <w:rsid w:val="00DC6E40"/>
    <w:rsid w:val="00DD4B15"/>
    <w:rsid w:val="00DE537C"/>
    <w:rsid w:val="00E13AB7"/>
    <w:rsid w:val="00E239C0"/>
    <w:rsid w:val="00E30037"/>
    <w:rsid w:val="00E30980"/>
    <w:rsid w:val="00E4224C"/>
    <w:rsid w:val="00E42635"/>
    <w:rsid w:val="00E46556"/>
    <w:rsid w:val="00E47A30"/>
    <w:rsid w:val="00E628EB"/>
    <w:rsid w:val="00E7641C"/>
    <w:rsid w:val="00E76E5C"/>
    <w:rsid w:val="00E86B58"/>
    <w:rsid w:val="00E947A9"/>
    <w:rsid w:val="00EC0EFF"/>
    <w:rsid w:val="00ED201F"/>
    <w:rsid w:val="00ED283B"/>
    <w:rsid w:val="00ED4531"/>
    <w:rsid w:val="00ED5DF6"/>
    <w:rsid w:val="00F17037"/>
    <w:rsid w:val="00F43A2B"/>
    <w:rsid w:val="00F46D7A"/>
    <w:rsid w:val="00F513B0"/>
    <w:rsid w:val="00F57F1C"/>
    <w:rsid w:val="00F658D8"/>
    <w:rsid w:val="00F6719D"/>
    <w:rsid w:val="00F74C85"/>
    <w:rsid w:val="00F845B8"/>
    <w:rsid w:val="00F90458"/>
    <w:rsid w:val="00F90F38"/>
    <w:rsid w:val="00F93D09"/>
    <w:rsid w:val="00FA5836"/>
    <w:rsid w:val="00FC7039"/>
    <w:rsid w:val="00FE1719"/>
    <w:rsid w:val="00FF2343"/>
    <w:rsid w:val="00FF62F2"/>
    <w:rsid w:val="3FEF6485"/>
    <w:rsid w:val="7FFB57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name="Strong"/>
    <w:lsdException w:qFormat="1" w:unhideWhenUsed="0"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qFormat="1" w:uiPriority="99" w:name="Quote"/>
    <w:lsdException w:qFormat="1" w:uiPriority="99"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3"/>
    <w:unhideWhenUsed/>
    <w:qFormat/>
    <w:uiPriority w:val="99"/>
    <w:rPr>
      <w:sz w:val="20"/>
      <w:szCs w:val="20"/>
    </w:rPr>
  </w:style>
  <w:style w:type="paragraph" w:styleId="3">
    <w:name w:val="Body Text"/>
    <w:basedOn w:val="1"/>
    <w:link w:val="36"/>
    <w:qFormat/>
    <w:uiPriority w:val="0"/>
    <w:pPr>
      <w:widowControl/>
      <w:spacing w:after="240"/>
    </w:pPr>
    <w:rPr>
      <w:rFonts w:ascii="Times New Roman" w:hAnsi="Times New Roman" w:cs="Simplified Arabic"/>
      <w:kern w:val="0"/>
      <w:sz w:val="24"/>
      <w:szCs w:val="24"/>
      <w:lang w:val="en-GB" w:eastAsia="en-GB" w:bidi="ar-AE"/>
    </w:rPr>
  </w:style>
  <w:style w:type="paragraph" w:styleId="4">
    <w:name w:val="endnote text"/>
    <w:basedOn w:val="1"/>
    <w:link w:val="18"/>
    <w:semiHidden/>
    <w:unhideWhenUsed/>
    <w:qFormat/>
    <w:uiPriority w:val="99"/>
    <w:pPr>
      <w:snapToGrid w:val="0"/>
      <w:jc w:val="left"/>
    </w:pPr>
  </w:style>
  <w:style w:type="paragraph" w:styleId="5">
    <w:name w:val="Balloon Text"/>
    <w:basedOn w:val="1"/>
    <w:link w:val="21"/>
    <w:semiHidden/>
    <w:unhideWhenUsed/>
    <w:qFormat/>
    <w:uiPriority w:val="99"/>
    <w:rPr>
      <w:sz w:val="18"/>
      <w:szCs w:val="18"/>
    </w:rPr>
  </w:style>
  <w:style w:type="paragraph" w:styleId="6">
    <w:name w:val="footer"/>
    <w:basedOn w:val="1"/>
    <w:link w:val="20"/>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35"/>
    <w:semiHidden/>
    <w:unhideWhenUsed/>
    <w:qFormat/>
    <w:uiPriority w:val="99"/>
    <w:rPr>
      <w:sz w:val="20"/>
      <w:szCs w:val="20"/>
    </w:rPr>
  </w:style>
  <w:style w:type="paragraph" w:styleId="9">
    <w:name w:val="annotation subject"/>
    <w:basedOn w:val="2"/>
    <w:next w:val="2"/>
    <w:link w:val="24"/>
    <w:semiHidden/>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semiHidden/>
    <w:qFormat/>
    <w:uiPriority w:val="22"/>
    <w:rPr>
      <w:b/>
      <w:bCs/>
    </w:rPr>
  </w:style>
  <w:style w:type="character" w:styleId="14">
    <w:name w:val="endnote reference"/>
    <w:semiHidden/>
    <w:unhideWhenUsed/>
    <w:qFormat/>
    <w:uiPriority w:val="99"/>
    <w:rPr>
      <w:vertAlign w:val="superscript"/>
    </w:rPr>
  </w:style>
  <w:style w:type="character" w:styleId="15">
    <w:name w:val="Emphasis"/>
    <w:basedOn w:val="12"/>
    <w:semiHidden/>
    <w:qFormat/>
    <w:uiPriority w:val="20"/>
    <w:rPr>
      <w:i/>
      <w:iCs/>
    </w:rPr>
  </w:style>
  <w:style w:type="character" w:styleId="16">
    <w:name w:val="annotation reference"/>
    <w:basedOn w:val="12"/>
    <w:unhideWhenUsed/>
    <w:qFormat/>
    <w:uiPriority w:val="99"/>
    <w:rPr>
      <w:sz w:val="21"/>
      <w:szCs w:val="21"/>
    </w:rPr>
  </w:style>
  <w:style w:type="character" w:styleId="17">
    <w:name w:val="footnote reference"/>
    <w:basedOn w:val="12"/>
    <w:semiHidden/>
    <w:unhideWhenUsed/>
    <w:qFormat/>
    <w:uiPriority w:val="99"/>
    <w:rPr>
      <w:vertAlign w:val="superscript"/>
    </w:rPr>
  </w:style>
  <w:style w:type="character" w:customStyle="1" w:styleId="18">
    <w:name w:val="尾注文本 字符"/>
    <w:basedOn w:val="12"/>
    <w:link w:val="4"/>
    <w:semiHidden/>
    <w:qFormat/>
    <w:uiPriority w:val="99"/>
  </w:style>
  <w:style w:type="character" w:customStyle="1" w:styleId="19">
    <w:name w:val="页眉 字符"/>
    <w:link w:val="7"/>
    <w:qFormat/>
    <w:uiPriority w:val="99"/>
    <w:rPr>
      <w:sz w:val="18"/>
      <w:szCs w:val="18"/>
    </w:rPr>
  </w:style>
  <w:style w:type="character" w:customStyle="1" w:styleId="20">
    <w:name w:val="页脚 字符"/>
    <w:link w:val="6"/>
    <w:qFormat/>
    <w:uiPriority w:val="99"/>
    <w:rPr>
      <w:sz w:val="18"/>
      <w:szCs w:val="18"/>
    </w:rPr>
  </w:style>
  <w:style w:type="character" w:customStyle="1" w:styleId="21">
    <w:name w:val="批注框文本 字符"/>
    <w:basedOn w:val="12"/>
    <w:link w:val="5"/>
    <w:semiHidden/>
    <w:qFormat/>
    <w:uiPriority w:val="99"/>
    <w:rPr>
      <w:kern w:val="2"/>
      <w:sz w:val="18"/>
      <w:szCs w:val="18"/>
    </w:rPr>
  </w:style>
  <w:style w:type="paragraph" w:customStyle="1" w:styleId="22">
    <w:name w:val="Revision"/>
    <w:hidden/>
    <w:unhideWhenUsed/>
    <w:qFormat/>
    <w:uiPriority w:val="99"/>
    <w:rPr>
      <w:rFonts w:ascii="Calibri" w:hAnsi="Calibri" w:eastAsia="宋体" w:cs="Times New Roman"/>
      <w:kern w:val="2"/>
      <w:sz w:val="21"/>
      <w:szCs w:val="22"/>
      <w:lang w:val="en-US" w:eastAsia="zh-CN" w:bidi="ar-SA"/>
    </w:rPr>
  </w:style>
  <w:style w:type="character" w:customStyle="1" w:styleId="23">
    <w:name w:val="批注文字 字符"/>
    <w:basedOn w:val="12"/>
    <w:link w:val="2"/>
    <w:qFormat/>
    <w:uiPriority w:val="99"/>
    <w:rPr>
      <w:kern w:val="2"/>
    </w:rPr>
  </w:style>
  <w:style w:type="character" w:customStyle="1" w:styleId="24">
    <w:name w:val="批注主题 字符"/>
    <w:basedOn w:val="23"/>
    <w:link w:val="9"/>
    <w:semiHidden/>
    <w:qFormat/>
    <w:uiPriority w:val="99"/>
    <w:rPr>
      <w:b/>
      <w:bCs/>
      <w:kern w:val="2"/>
    </w:rPr>
  </w:style>
  <w:style w:type="character" w:customStyle="1" w:styleId="25">
    <w:name w:val="Subtle Emphasis"/>
    <w:basedOn w:val="12"/>
    <w:semiHidden/>
    <w:qFormat/>
    <w:uiPriority w:val="19"/>
    <w:rPr>
      <w:i/>
      <w:iCs/>
      <w:color w:val="404040" w:themeColor="text1" w:themeTint="BF"/>
      <w14:textFill>
        <w14:solidFill>
          <w14:schemeClr w14:val="tx1">
            <w14:lumMod w14:val="75000"/>
            <w14:lumOff w14:val="25000"/>
          </w14:schemeClr>
        </w14:solidFill>
      </w14:textFill>
    </w:rPr>
  </w:style>
  <w:style w:type="character" w:customStyle="1" w:styleId="26">
    <w:name w:val="Intense Emphasis"/>
    <w:basedOn w:val="12"/>
    <w:semiHidden/>
    <w:qFormat/>
    <w:uiPriority w:val="21"/>
    <w:rPr>
      <w:i/>
      <w:iCs/>
      <w:color w:val="5B9BD5" w:themeColor="accent1"/>
      <w14:textFill>
        <w14:solidFill>
          <w14:schemeClr w14:val="accent1"/>
        </w14:solidFill>
      </w14:textFill>
    </w:rPr>
  </w:style>
  <w:style w:type="paragraph" w:styleId="27">
    <w:name w:val="Quote"/>
    <w:basedOn w:val="1"/>
    <w:next w:val="1"/>
    <w:link w:val="28"/>
    <w:semiHidden/>
    <w:unhideWhenUsed/>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2"/>
    <w:link w:val="27"/>
    <w:semiHidden/>
    <w:qFormat/>
    <w:uiPriority w:val="99"/>
    <w:rPr>
      <w:i/>
      <w:iCs/>
      <w:color w:val="404040" w:themeColor="text1" w:themeTint="BF"/>
      <w:kern w:val="2"/>
      <w:sz w:val="21"/>
      <w:szCs w:val="22"/>
      <w14:textFill>
        <w14:solidFill>
          <w14:schemeClr w14:val="tx1">
            <w14:lumMod w14:val="75000"/>
            <w14:lumOff w14:val="25000"/>
          </w14:schemeClr>
        </w14:solidFill>
      </w14:textFill>
    </w:rPr>
  </w:style>
  <w:style w:type="paragraph" w:styleId="29">
    <w:name w:val="Intense Quote"/>
    <w:basedOn w:val="1"/>
    <w:next w:val="1"/>
    <w:link w:val="30"/>
    <w:semiHidden/>
    <w:unhideWhenUsed/>
    <w:qFormat/>
    <w:uiPriority w:val="99"/>
    <w:pPr>
      <w:pBdr>
        <w:top w:val="single" w:color="5B9BD5" w:themeColor="accent1" w:sz="4" w:space="10"/>
        <w:bottom w:val="single" w:color="5B9BD5" w:themeColor="accent1" w:sz="4" w:space="10"/>
      </w:pBdr>
      <w:spacing w:before="360" w:after="360"/>
      <w:ind w:left="864" w:right="864"/>
      <w:jc w:val="center"/>
    </w:pPr>
    <w:rPr>
      <w:i/>
      <w:iCs/>
      <w:color w:val="5B9BD5" w:themeColor="accent1"/>
      <w14:textFill>
        <w14:solidFill>
          <w14:schemeClr w14:val="accent1"/>
        </w14:solidFill>
      </w14:textFill>
    </w:rPr>
  </w:style>
  <w:style w:type="character" w:customStyle="1" w:styleId="30">
    <w:name w:val="明显引用 字符"/>
    <w:basedOn w:val="12"/>
    <w:link w:val="29"/>
    <w:semiHidden/>
    <w:qFormat/>
    <w:uiPriority w:val="99"/>
    <w:rPr>
      <w:i/>
      <w:iCs/>
      <w:color w:val="5B9BD5" w:themeColor="accent1"/>
      <w:kern w:val="2"/>
      <w:sz w:val="21"/>
      <w:szCs w:val="22"/>
      <w14:textFill>
        <w14:solidFill>
          <w14:schemeClr w14:val="accent1"/>
        </w14:solidFill>
      </w14:textFill>
    </w:rPr>
  </w:style>
  <w:style w:type="character" w:customStyle="1" w:styleId="31">
    <w:name w:val="Subtle Reference"/>
    <w:basedOn w:val="12"/>
    <w:semiHidden/>
    <w:qFormat/>
    <w:uiPriority w:val="31"/>
    <w:rPr>
      <w:smallCaps/>
      <w:color w:val="595959" w:themeColor="text1" w:themeTint="A6"/>
      <w14:textFill>
        <w14:solidFill>
          <w14:schemeClr w14:val="tx1">
            <w14:lumMod w14:val="65000"/>
            <w14:lumOff w14:val="35000"/>
          </w14:schemeClr>
        </w14:solidFill>
      </w14:textFill>
    </w:rPr>
  </w:style>
  <w:style w:type="character" w:customStyle="1" w:styleId="32">
    <w:name w:val="Intense Reference"/>
    <w:basedOn w:val="12"/>
    <w:semiHidden/>
    <w:qFormat/>
    <w:uiPriority w:val="32"/>
    <w:rPr>
      <w:b/>
      <w:bCs/>
      <w:smallCaps/>
      <w:color w:val="5B9BD5" w:themeColor="accent1"/>
      <w:spacing w:val="5"/>
      <w14:textFill>
        <w14:solidFill>
          <w14:schemeClr w14:val="accent1"/>
        </w14:solidFill>
      </w14:textFill>
    </w:rPr>
  </w:style>
  <w:style w:type="character" w:customStyle="1" w:styleId="33">
    <w:name w:val="Book Title"/>
    <w:basedOn w:val="12"/>
    <w:semiHidden/>
    <w:qFormat/>
    <w:uiPriority w:val="33"/>
    <w:rPr>
      <w:b/>
      <w:bCs/>
      <w:i/>
      <w:iCs/>
      <w:spacing w:val="5"/>
    </w:rPr>
  </w:style>
  <w:style w:type="paragraph" w:styleId="34">
    <w:name w:val="List Paragraph"/>
    <w:basedOn w:val="1"/>
    <w:semiHidden/>
    <w:unhideWhenUsed/>
    <w:qFormat/>
    <w:uiPriority w:val="99"/>
    <w:pPr>
      <w:ind w:left="720"/>
      <w:contextualSpacing/>
    </w:pPr>
  </w:style>
  <w:style w:type="character" w:customStyle="1" w:styleId="35">
    <w:name w:val="脚注文本 字符"/>
    <w:basedOn w:val="12"/>
    <w:link w:val="8"/>
    <w:semiHidden/>
    <w:qFormat/>
    <w:uiPriority w:val="99"/>
    <w:rPr>
      <w:kern w:val="2"/>
    </w:rPr>
  </w:style>
  <w:style w:type="character" w:customStyle="1" w:styleId="36">
    <w:name w:val="正文文本 字符"/>
    <w:basedOn w:val="12"/>
    <w:link w:val="3"/>
    <w:qFormat/>
    <w:uiPriority w:val="0"/>
    <w:rPr>
      <w:rFonts w:ascii="Times New Roman" w:hAnsi="Times New Roman" w:cs="Simplified Arabic"/>
      <w:sz w:val="24"/>
      <w:szCs w:val="24"/>
      <w:lang w:val="en-GB" w:eastAsia="en-GB" w:bidi="ar-A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142</Words>
  <Characters>816</Characters>
  <Lines>6</Lines>
  <Paragraphs>1</Paragraphs>
  <TotalTime>172</TotalTime>
  <ScaleCrop>false</ScaleCrop>
  <LinksUpToDate>false</LinksUpToDate>
  <CharactersWithSpaces>957</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2025-02-20T12:12:00Z</dcterms:created>
  <dc:creator>dell</dc:creator>
  <cp:lastModifiedBy>scjuser</cp:lastModifiedBy>
  <cp:lastPrinted>2025-03-10T16:42:45Z</cp:lastPrinted>
  <dcterms:modified xsi:type="dcterms:W3CDTF">2025-03-10T17:28:01Z</dcterms:modified>
  <dc:title>附件二、</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DPWPathText">
    <vt:lpwstr>#97717177v5</vt:lpwstr>
  </property>
  <property fmtid="{D5CDD505-2E9C-101B-9397-08002B2CF9AE}" pid="4" name="NRT_DocNumber">
    <vt:lpwstr/>
  </property>
  <property fmtid="{D5CDD505-2E9C-101B-9397-08002B2CF9AE}" pid="5" name="NRT_DocVersion">
    <vt:lpwstr/>
  </property>
  <property fmtid="{D5CDD505-2E9C-101B-9397-08002B2CF9AE}" pid="6" name="NRT_DocName">
    <vt:lpwstr/>
  </property>
  <property fmtid="{D5CDD505-2E9C-101B-9397-08002B2CF9AE}" pid="7" name="NRT_AuthorDescription">
    <vt:lpwstr/>
  </property>
  <property fmtid="{D5CDD505-2E9C-101B-9397-08002B2CF9AE}" pid="8" name="NRT_Author">
    <vt:lpwstr/>
  </property>
  <property fmtid="{D5CDD505-2E9C-101B-9397-08002B2CF9AE}" pid="9" name="NRT_Operator">
    <vt:lpwstr/>
  </property>
  <property fmtid="{D5CDD505-2E9C-101B-9397-08002B2CF9AE}" pid="10" name="NRT_Database">
    <vt:lpwstr/>
  </property>
  <property fmtid="{D5CDD505-2E9C-101B-9397-08002B2CF9AE}" pid="11" name="NRT_ELITE_CLIENT">
    <vt:lpwstr/>
  </property>
  <property fmtid="{D5CDD505-2E9C-101B-9397-08002B2CF9AE}" pid="12" name="NRT_ELITE_MATTER">
    <vt:lpwstr/>
  </property>
  <property fmtid="{D5CDD505-2E9C-101B-9397-08002B2CF9AE}" pid="13" name="pDocRef">
    <vt:lpwstr/>
  </property>
  <property fmtid="{D5CDD505-2E9C-101B-9397-08002B2CF9AE}" pid="14" name="pDocNumber">
    <vt:lpwstr/>
  </property>
</Properties>
</file>