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line="440" w:lineRule="exact"/>
        <w:jc w:val="center"/>
        <w:rPr>
          <w:rFonts w:hint="eastAsia" w:ascii="黑体" w:eastAsia="黑体"/>
          <w:sz w:val="36"/>
          <w:szCs w:val="36"/>
        </w:rPr>
      </w:pPr>
      <w:r>
        <w:rPr>
          <w:rFonts w:hint="eastAsia" w:ascii="黑体" w:eastAsia="黑体"/>
          <w:sz w:val="36"/>
          <w:szCs w:val="36"/>
        </w:rPr>
        <w:t>经营者集中简易案件公示表</w:t>
      </w:r>
    </w:p>
    <w:tbl>
      <w:tblPr>
        <w:tblStyle w:val="10"/>
        <w:tblW w:w="9640" w:type="dxa"/>
        <w:tblInd w:w="-17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40"/>
        <w:gridCol w:w="1607"/>
        <w:gridCol w:w="609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9" w:hRule="atLeast"/>
        </w:trPr>
        <w:tc>
          <w:tcPr>
            <w:tcW w:w="1940" w:type="dxa"/>
            <w:shd w:val="clear" w:color="auto" w:fill="D9D9D9"/>
            <w:vAlign w:val="center"/>
          </w:tcPr>
          <w:p>
            <w:pPr>
              <w:pStyle w:val="3"/>
              <w:adjustRightInd w:val="0"/>
              <w:snapToGrid w:val="0"/>
              <w:spacing w:after="0"/>
              <w:rPr>
                <w:rFonts w:cs="Times New Roman" w:eastAsiaTheme="majorEastAsia"/>
                <w:bCs/>
                <w:color w:val="000000"/>
                <w:lang w:val="en-US"/>
              </w:rPr>
            </w:pPr>
            <w:r>
              <w:rPr>
                <w:rFonts w:cs="Times New Roman" w:eastAsiaTheme="majorEastAsia"/>
                <w:bCs/>
                <w:color w:val="000000"/>
              </w:rPr>
              <w:t>案件名称</w:t>
            </w:r>
          </w:p>
        </w:tc>
        <w:tc>
          <w:tcPr>
            <w:tcW w:w="7700" w:type="dxa"/>
            <w:gridSpan w:val="2"/>
            <w:vAlign w:val="center"/>
          </w:tcPr>
          <w:p>
            <w:pPr>
              <w:adjustRightInd w:val="0"/>
              <w:snapToGrid w:val="0"/>
              <w:rPr>
                <w:rFonts w:ascii="Times New Roman" w:hAnsi="Times New Roman" w:eastAsiaTheme="majorEastAsia"/>
                <w:sz w:val="24"/>
                <w:szCs w:val="24"/>
              </w:rPr>
            </w:pPr>
            <w:r>
              <w:rPr>
                <w:rFonts w:hint="eastAsia" w:ascii="Times New Roman" w:hAnsi="Times New Roman" w:eastAsiaTheme="majorEastAsia"/>
                <w:sz w:val="24"/>
                <w:szCs w:val="24"/>
              </w:rPr>
              <w:t>IK Investment Partners AIFM 与Thibaut Hyvernat收购Sterimed International SAS股权案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91" w:hRule="atLeast"/>
        </w:trPr>
        <w:tc>
          <w:tcPr>
            <w:tcW w:w="1940" w:type="dxa"/>
            <w:shd w:val="clear" w:color="auto" w:fill="D9D9D9"/>
            <w:vAlign w:val="center"/>
          </w:tcPr>
          <w:p>
            <w:pPr>
              <w:pStyle w:val="3"/>
              <w:adjustRightInd w:val="0"/>
              <w:snapToGrid w:val="0"/>
              <w:spacing w:after="0"/>
              <w:rPr>
                <w:rFonts w:cs="Times New Roman" w:eastAsiaTheme="majorEastAsia"/>
                <w:bCs/>
                <w:color w:val="000000"/>
                <w:lang w:val="en-US" w:eastAsia="zh-CN"/>
              </w:rPr>
            </w:pPr>
            <w:r>
              <w:rPr>
                <w:rFonts w:hint="eastAsia" w:ascii="宋体" w:hAnsi="宋体" w:cs="宋体"/>
                <w:bCs/>
                <w:color w:val="000000"/>
              </w:rPr>
              <w:t>交易概况（限200字内）</w:t>
            </w:r>
          </w:p>
        </w:tc>
        <w:tc>
          <w:tcPr>
            <w:tcW w:w="7700" w:type="dxa"/>
            <w:gridSpan w:val="2"/>
            <w:vAlign w:val="center"/>
          </w:tcPr>
          <w:p>
            <w:pPr>
              <w:adjustRightInd w:val="0"/>
              <w:snapToGrid w:val="0"/>
              <w:spacing w:after="240"/>
              <w:rPr>
                <w:rFonts w:ascii="Times New Roman" w:hAnsi="Times New Roman" w:eastAsiaTheme="majorEastAsia"/>
                <w:bCs/>
                <w:sz w:val="24"/>
                <w:szCs w:val="24"/>
                <w:lang w:val="en-GB"/>
              </w:rPr>
            </w:pPr>
            <w:r>
              <w:rPr>
                <w:rFonts w:ascii="Times New Roman" w:hAnsi="Times New Roman" w:eastAsiaTheme="majorEastAsia"/>
                <w:sz w:val="24"/>
                <w:szCs w:val="24"/>
              </w:rPr>
              <w:t>IK Investment Partners AIFM</w:t>
            </w:r>
            <w:r>
              <w:rPr>
                <w:rFonts w:hint="eastAsia" w:ascii="Times New Roman" w:hAnsi="Times New Roman" w:eastAsiaTheme="majorEastAsia"/>
                <w:sz w:val="24"/>
                <w:szCs w:val="24"/>
              </w:rPr>
              <w:t>（</w:t>
            </w:r>
            <w:r>
              <w:rPr>
                <w:rFonts w:ascii="Times New Roman" w:hAnsi="Times New Roman" w:eastAsiaTheme="majorEastAsia"/>
                <w:sz w:val="24"/>
                <w:szCs w:val="24"/>
              </w:rPr>
              <w:t>“</w:t>
            </w:r>
            <w:r>
              <w:rPr>
                <w:rFonts w:ascii="Times New Roman" w:hAnsi="Times New Roman" w:eastAsiaTheme="majorEastAsia"/>
                <w:b/>
                <w:bCs/>
                <w:sz w:val="24"/>
                <w:szCs w:val="24"/>
              </w:rPr>
              <w:t>IK Partners</w:t>
            </w:r>
            <w:r>
              <w:rPr>
                <w:rFonts w:ascii="Times New Roman" w:hAnsi="Times New Roman" w:eastAsiaTheme="majorEastAsia"/>
                <w:sz w:val="24"/>
                <w:szCs w:val="24"/>
              </w:rPr>
              <w:t>”</w:t>
            </w:r>
            <w:r>
              <w:rPr>
                <w:rFonts w:hint="eastAsia" w:ascii="Times New Roman" w:hAnsi="Times New Roman" w:eastAsiaTheme="majorEastAsia"/>
                <w:sz w:val="24"/>
                <w:szCs w:val="24"/>
              </w:rPr>
              <w:t>）、Sagard股份有限公司（“</w:t>
            </w:r>
            <w:r>
              <w:rPr>
                <w:rFonts w:hint="eastAsia" w:ascii="Times New Roman" w:hAnsi="Times New Roman" w:eastAsiaTheme="majorEastAsia"/>
                <w:b/>
                <w:bCs/>
                <w:sz w:val="24"/>
                <w:szCs w:val="24"/>
              </w:rPr>
              <w:t>Sagard</w:t>
            </w:r>
            <w:r>
              <w:rPr>
                <w:rFonts w:hint="eastAsia" w:ascii="Times New Roman" w:hAnsi="Times New Roman" w:eastAsiaTheme="majorEastAsia"/>
                <w:sz w:val="24"/>
                <w:szCs w:val="24"/>
              </w:rPr>
              <w:t>”）和</w:t>
            </w:r>
            <w:r>
              <w:rPr>
                <w:rFonts w:hint="eastAsia" w:ascii="Times New Roman" w:hAnsi="Times New Roman" w:eastAsiaTheme="majorEastAsia"/>
                <w:bCs/>
                <w:sz w:val="24"/>
                <w:szCs w:val="24"/>
                <w:lang w:val="en-GB"/>
              </w:rPr>
              <w:t>Thibaut Hyvernat先生达成了相关交易协议，约定由</w:t>
            </w:r>
            <w:r>
              <w:rPr>
                <w:rFonts w:ascii="Times New Roman" w:hAnsi="Times New Roman" w:eastAsiaTheme="majorEastAsia"/>
                <w:bCs/>
                <w:sz w:val="24"/>
                <w:szCs w:val="24"/>
                <w:lang w:val="en-GB"/>
              </w:rPr>
              <w:t>IK Partners</w:t>
            </w:r>
            <w:r>
              <w:rPr>
                <w:rFonts w:hint="eastAsia" w:ascii="Times New Roman" w:hAnsi="Times New Roman" w:eastAsiaTheme="majorEastAsia"/>
                <w:bCs/>
                <w:sz w:val="24"/>
                <w:szCs w:val="24"/>
                <w:lang w:val="en-GB"/>
              </w:rPr>
              <w:t>和Thibaut Hyvernat先生间接收购Sterimed International SAS（“</w:t>
            </w:r>
            <w:r>
              <w:rPr>
                <w:rFonts w:hint="eastAsia" w:ascii="Times New Roman" w:hAnsi="Times New Roman" w:eastAsiaTheme="majorEastAsia"/>
                <w:b/>
                <w:sz w:val="24"/>
                <w:szCs w:val="24"/>
                <w:lang w:val="en-GB"/>
              </w:rPr>
              <w:t>目标公司</w:t>
            </w:r>
            <w:r>
              <w:rPr>
                <w:rFonts w:hint="eastAsia" w:ascii="Times New Roman" w:hAnsi="Times New Roman" w:eastAsiaTheme="majorEastAsia"/>
                <w:bCs/>
                <w:sz w:val="24"/>
                <w:szCs w:val="24"/>
                <w:lang w:val="en-GB"/>
              </w:rPr>
              <w:t>”）的部分股权。目标公司主要在南美、北美、亚洲和欧洲从事医药用软包装的生产与供应业务</w:t>
            </w:r>
            <w:bookmarkStart w:id="0" w:name="_GoBack"/>
            <w:bookmarkEnd w:id="0"/>
            <w:r>
              <w:rPr>
                <w:rFonts w:hint="eastAsia" w:ascii="Times New Roman" w:hAnsi="Times New Roman" w:eastAsiaTheme="majorEastAsia"/>
                <w:bCs/>
                <w:sz w:val="24"/>
                <w:szCs w:val="24"/>
                <w:lang w:val="en-GB"/>
              </w:rPr>
              <w:t>。</w:t>
            </w:r>
          </w:p>
          <w:p>
            <w:pPr>
              <w:adjustRightInd w:val="0"/>
              <w:snapToGrid w:val="0"/>
              <w:spacing w:after="240"/>
              <w:rPr>
                <w:rFonts w:ascii="Times New Roman" w:hAnsi="Times New Roman" w:eastAsiaTheme="majorEastAsia"/>
                <w:sz w:val="24"/>
                <w:szCs w:val="24"/>
              </w:rPr>
            </w:pPr>
            <w:r>
              <w:rPr>
                <w:rFonts w:hint="eastAsia" w:ascii="Times New Roman" w:hAnsi="Times New Roman" w:eastAsiaTheme="majorEastAsia"/>
                <w:sz w:val="24"/>
                <w:szCs w:val="24"/>
              </w:rPr>
              <w:t>目前，目标公司由Sagard单独控制。交易完成后，IK Partners、Sagard和Thibaut Hyvernat先生将共同控制目标公司。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42" w:hRule="atLeast"/>
        </w:trPr>
        <w:tc>
          <w:tcPr>
            <w:tcW w:w="1940" w:type="dxa"/>
            <w:vMerge w:val="restart"/>
            <w:shd w:val="clear" w:color="auto" w:fill="D9D9D9"/>
            <w:vAlign w:val="center"/>
          </w:tcPr>
          <w:p>
            <w:pPr>
              <w:pStyle w:val="3"/>
              <w:adjustRightInd w:val="0"/>
              <w:snapToGrid w:val="0"/>
              <w:spacing w:after="0"/>
              <w:rPr>
                <w:rFonts w:cs="Times New Roman" w:eastAsiaTheme="majorEastAsia"/>
                <w:bCs/>
                <w:color w:val="000000"/>
                <w:lang w:val="en-US" w:eastAsia="zh-CN"/>
              </w:rPr>
            </w:pPr>
            <w:r>
              <w:rPr>
                <w:rFonts w:hint="eastAsia" w:ascii="宋体" w:hAnsi="宋体" w:cs="宋体"/>
                <w:bCs/>
                <w:color w:val="000000"/>
                <w:lang w:eastAsia="zh-CN"/>
              </w:rPr>
              <w:t>参与集中的经营者简介（每个限100字以内）</w:t>
            </w:r>
          </w:p>
        </w:tc>
        <w:tc>
          <w:tcPr>
            <w:tcW w:w="1607" w:type="dxa"/>
          </w:tcPr>
          <w:p>
            <w:pPr>
              <w:pStyle w:val="3"/>
              <w:numPr>
                <w:ilvl w:val="0"/>
                <w:numId w:val="1"/>
              </w:numPr>
              <w:adjustRightInd w:val="0"/>
              <w:snapToGrid w:val="0"/>
              <w:spacing w:after="0"/>
              <w:jc w:val="left"/>
              <w:rPr>
                <w:rFonts w:cs="Times New Roman" w:eastAsiaTheme="majorEastAsia"/>
                <w:bCs/>
                <w:kern w:val="2"/>
                <w:lang w:eastAsia="zh-CN" w:bidi="ar-SA"/>
              </w:rPr>
            </w:pPr>
            <w:r>
              <w:rPr>
                <w:rFonts w:hint="eastAsia" w:eastAsiaTheme="majorEastAsia"/>
              </w:rPr>
              <w:t>IK Partners</w:t>
            </w:r>
          </w:p>
        </w:tc>
        <w:tc>
          <w:tcPr>
            <w:tcW w:w="6093" w:type="dxa"/>
          </w:tcPr>
          <w:p>
            <w:pPr>
              <w:snapToGrid w:val="0"/>
              <w:spacing w:after="240"/>
              <w:rPr>
                <w:rFonts w:ascii="Times New Roman" w:hAnsi="Times New Roman" w:eastAsiaTheme="majorEastAsia"/>
                <w:sz w:val="24"/>
                <w:szCs w:val="24"/>
              </w:rPr>
            </w:pPr>
            <w:r>
              <w:rPr>
                <w:rFonts w:hint="eastAsia" w:ascii="Times New Roman" w:hAnsi="Times New Roman" w:eastAsiaTheme="majorEastAsia"/>
                <w:sz w:val="24"/>
                <w:szCs w:val="24"/>
              </w:rPr>
              <w:t>IK Partners于2015年成立于卢森堡。IK Partners（及其关联实体）是一家专注于中型市场的私募股权公司。IK Partners采取四项互补性投资战略（即中型企业基金、小型企业基金、成长资本和合伙基金），主要投资于四个具体领域（即商业服务、消费品、医疗健康和工业）。</w:t>
            </w:r>
          </w:p>
          <w:p>
            <w:pPr>
              <w:snapToGrid w:val="0"/>
              <w:spacing w:after="240"/>
              <w:rPr>
                <w:rFonts w:ascii="宋体" w:hAnsi="宋体"/>
                <w:bCs/>
                <w:sz w:val="24"/>
                <w:lang w:val="en-GB"/>
              </w:rPr>
            </w:pPr>
            <w:r>
              <w:rPr>
                <w:rFonts w:hint="eastAsia" w:ascii="Times New Roman" w:hAnsi="Times New Roman" w:eastAsiaTheme="majorEastAsia"/>
                <w:sz w:val="24"/>
                <w:szCs w:val="24"/>
              </w:rPr>
              <w:t>IK Partners最终控制人为</w:t>
            </w:r>
            <w:r>
              <w:rPr>
                <w:rFonts w:ascii="Times New Roman" w:hAnsi="Times New Roman" w:eastAsiaTheme="majorEastAsia"/>
                <w:sz w:val="24"/>
                <w:szCs w:val="24"/>
              </w:rPr>
              <w:t>Wendel-Participations S.E.</w:t>
            </w:r>
            <w:r>
              <w:rPr>
                <w:rFonts w:hint="eastAsia" w:ascii="Times New Roman" w:hAnsi="Times New Roman" w:eastAsiaTheme="majorEastAsia"/>
                <w:sz w:val="24"/>
                <w:szCs w:val="24"/>
              </w:rPr>
              <w:t>。</w:t>
            </w:r>
            <w:r>
              <w:rPr>
                <w:rFonts w:ascii="Times New Roman" w:hAnsi="Times New Roman" w:eastAsiaTheme="majorEastAsia"/>
                <w:sz w:val="24"/>
                <w:szCs w:val="24"/>
              </w:rPr>
              <w:t>Wendel-Participations S.E.</w:t>
            </w:r>
            <w:r>
              <w:rPr>
                <w:rFonts w:hint="eastAsia" w:ascii="Times New Roman" w:hAnsi="Times New Roman" w:eastAsiaTheme="majorEastAsia"/>
                <w:sz w:val="24"/>
                <w:szCs w:val="24"/>
              </w:rPr>
              <w:t>（与其控股关联公司统称“</w:t>
            </w:r>
            <w:r>
              <w:rPr>
                <w:rFonts w:hint="eastAsia" w:ascii="Times New Roman" w:hAnsi="Times New Roman" w:eastAsiaTheme="majorEastAsia"/>
                <w:b/>
                <w:bCs/>
                <w:sz w:val="24"/>
                <w:szCs w:val="24"/>
              </w:rPr>
              <w:t>Wendel集团</w:t>
            </w:r>
            <w:r>
              <w:rPr>
                <w:rFonts w:hint="eastAsia" w:ascii="Times New Roman" w:hAnsi="Times New Roman" w:eastAsiaTheme="majorEastAsia"/>
                <w:sz w:val="24"/>
                <w:szCs w:val="24"/>
              </w:rPr>
              <w:t>”）是一家总部位于法国的投资公司，在巴黎泛欧证券交易所上市。Wendel集团专注于对西欧（特别是法国）和北美多领域具有长期增长前景的被投企业进行投资。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84" w:hRule="atLeast"/>
        </w:trPr>
        <w:tc>
          <w:tcPr>
            <w:tcW w:w="1940" w:type="dxa"/>
            <w:vMerge w:val="continue"/>
            <w:shd w:val="clear" w:color="auto" w:fill="D9D9D9"/>
            <w:vAlign w:val="center"/>
          </w:tcPr>
          <w:p>
            <w:pPr>
              <w:pStyle w:val="3"/>
              <w:adjustRightInd w:val="0"/>
              <w:snapToGrid w:val="0"/>
              <w:spacing w:after="0"/>
              <w:rPr>
                <w:rFonts w:cs="Times New Roman" w:eastAsiaTheme="majorEastAsia"/>
                <w:bCs/>
                <w:color w:val="000000"/>
                <w:lang w:val="en-US" w:eastAsia="zh-CN"/>
              </w:rPr>
            </w:pPr>
          </w:p>
        </w:tc>
        <w:tc>
          <w:tcPr>
            <w:tcW w:w="1607" w:type="dxa"/>
          </w:tcPr>
          <w:p>
            <w:pPr>
              <w:pStyle w:val="3"/>
              <w:numPr>
                <w:ilvl w:val="0"/>
                <w:numId w:val="1"/>
              </w:numPr>
              <w:adjustRightInd w:val="0"/>
              <w:snapToGrid w:val="0"/>
              <w:spacing w:after="0"/>
              <w:rPr>
                <w:rFonts w:cs="Times New Roman" w:eastAsiaTheme="majorEastAsia"/>
                <w:bCs/>
                <w:color w:val="000000"/>
                <w:lang w:eastAsia="zh-CN"/>
              </w:rPr>
            </w:pPr>
            <w:r>
              <w:rPr>
                <w:rFonts w:hint="eastAsia" w:eastAsiaTheme="majorEastAsia"/>
              </w:rPr>
              <w:t>Sagard</w:t>
            </w:r>
          </w:p>
        </w:tc>
        <w:tc>
          <w:tcPr>
            <w:tcW w:w="6093" w:type="dxa"/>
          </w:tcPr>
          <w:p>
            <w:pPr>
              <w:snapToGrid w:val="0"/>
              <w:spacing w:after="240"/>
              <w:rPr>
                <w:rFonts w:ascii="Times New Roman" w:hAnsi="Times New Roman" w:eastAsiaTheme="majorEastAsia"/>
                <w:sz w:val="24"/>
                <w:szCs w:val="24"/>
              </w:rPr>
            </w:pPr>
            <w:r>
              <w:rPr>
                <w:rFonts w:hint="eastAsia" w:ascii="Times New Roman" w:hAnsi="Times New Roman" w:eastAsiaTheme="majorEastAsia"/>
                <w:sz w:val="24"/>
                <w:szCs w:val="24"/>
              </w:rPr>
              <w:t>Sagard于2001年成立于法国。Sagard（及其关联实体）是一家全球性另类资产管理公司，主要围绕信贷、私募股权、房地产和风险资产类别为客户提供互补性投资解决方案。</w:t>
            </w:r>
          </w:p>
          <w:p>
            <w:pPr>
              <w:snapToGrid w:val="0"/>
              <w:spacing w:after="240"/>
              <w:rPr>
                <w:rFonts w:ascii="Times New Roman" w:hAnsi="Times New Roman" w:eastAsiaTheme="majorEastAsia"/>
                <w:bCs/>
                <w:sz w:val="24"/>
                <w:szCs w:val="24"/>
                <w:lang w:val="en-GB"/>
              </w:rPr>
            </w:pPr>
            <w:r>
              <w:rPr>
                <w:rFonts w:hint="eastAsia" w:ascii="Times New Roman" w:hAnsi="Times New Roman" w:eastAsiaTheme="majorEastAsia"/>
                <w:sz w:val="24"/>
                <w:szCs w:val="24"/>
              </w:rPr>
              <w:t>Sagard最终控制人为加拿大鲍尔公司（“</w:t>
            </w:r>
            <w:r>
              <w:rPr>
                <w:rFonts w:hint="eastAsia" w:ascii="Times New Roman" w:hAnsi="Times New Roman" w:eastAsiaTheme="majorEastAsia"/>
                <w:b/>
                <w:bCs/>
                <w:sz w:val="24"/>
                <w:szCs w:val="24"/>
              </w:rPr>
              <w:t>PCC</w:t>
            </w:r>
            <w:r>
              <w:rPr>
                <w:rFonts w:hint="eastAsia" w:ascii="Times New Roman" w:hAnsi="Times New Roman" w:eastAsiaTheme="majorEastAsia"/>
                <w:sz w:val="24"/>
                <w:szCs w:val="24"/>
              </w:rPr>
              <w:t>”）。PCC作为由Desmarais家族控制的上市公司，是一家专注于北美、欧洲和亚洲金融服务领域的国际管理和控股公司。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84" w:hRule="atLeast"/>
        </w:trPr>
        <w:tc>
          <w:tcPr>
            <w:tcW w:w="1940" w:type="dxa"/>
            <w:vMerge w:val="continue"/>
            <w:shd w:val="clear" w:color="auto" w:fill="D9D9D9"/>
            <w:vAlign w:val="center"/>
          </w:tcPr>
          <w:p>
            <w:pPr>
              <w:pStyle w:val="3"/>
              <w:adjustRightInd w:val="0"/>
              <w:snapToGrid w:val="0"/>
              <w:spacing w:after="0"/>
              <w:rPr>
                <w:rFonts w:cs="Times New Roman" w:eastAsiaTheme="majorEastAsia"/>
                <w:bCs/>
                <w:color w:val="000000"/>
                <w:lang w:val="en-US" w:eastAsia="zh-CN"/>
              </w:rPr>
            </w:pPr>
          </w:p>
        </w:tc>
        <w:tc>
          <w:tcPr>
            <w:tcW w:w="1607" w:type="dxa"/>
          </w:tcPr>
          <w:p>
            <w:pPr>
              <w:pStyle w:val="3"/>
              <w:numPr>
                <w:ilvl w:val="0"/>
                <w:numId w:val="1"/>
              </w:numPr>
              <w:adjustRightInd w:val="0"/>
              <w:snapToGrid w:val="0"/>
              <w:spacing w:after="0"/>
              <w:rPr>
                <w:rFonts w:cs="Times New Roman" w:eastAsiaTheme="majorEastAsia"/>
                <w:bCs/>
                <w:color w:val="000000"/>
                <w:lang w:eastAsia="zh-CN"/>
              </w:rPr>
            </w:pPr>
            <w:r>
              <w:rPr>
                <w:rFonts w:cs="Times New Roman" w:eastAsiaTheme="majorEastAsia"/>
                <w:bCs/>
                <w:color w:val="000000"/>
                <w:lang w:eastAsia="zh-CN"/>
              </w:rPr>
              <w:t>Thibaut Hyvernat</w:t>
            </w:r>
            <w:r>
              <w:rPr>
                <w:rFonts w:hint="eastAsia" w:cs="Times New Roman" w:eastAsiaTheme="majorEastAsia"/>
                <w:bCs/>
                <w:color w:val="000000"/>
                <w:lang w:eastAsia="zh-CN"/>
              </w:rPr>
              <w:t>先生</w:t>
            </w:r>
          </w:p>
        </w:tc>
        <w:tc>
          <w:tcPr>
            <w:tcW w:w="6093" w:type="dxa"/>
          </w:tcPr>
          <w:p>
            <w:pPr>
              <w:snapToGrid w:val="0"/>
              <w:spacing w:after="240"/>
              <w:rPr>
                <w:rFonts w:ascii="Times New Roman" w:hAnsi="Times New Roman" w:eastAsiaTheme="majorEastAsia"/>
                <w:bCs/>
                <w:sz w:val="24"/>
                <w:szCs w:val="24"/>
                <w:lang w:val="en-GB"/>
              </w:rPr>
            </w:pPr>
            <w:r>
              <w:rPr>
                <w:rFonts w:hint="eastAsia" w:ascii="Times New Roman" w:hAnsi="Times New Roman" w:eastAsiaTheme="majorEastAsia"/>
                <w:bCs/>
                <w:sz w:val="24"/>
                <w:szCs w:val="24"/>
                <w:lang w:val="en-GB"/>
              </w:rPr>
              <w:t>Thibaut Hyvernat先生除担任目标公司的首席执行官兼董事会主席外，不从事任何其他实质性的经济活动，也不控制任何企业。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9" w:hRule="atLeast"/>
        </w:trPr>
        <w:tc>
          <w:tcPr>
            <w:tcW w:w="1940" w:type="dxa"/>
            <w:vMerge w:val="restart"/>
            <w:shd w:val="clear" w:color="auto" w:fill="D9D9D9"/>
            <w:vAlign w:val="center"/>
          </w:tcPr>
          <w:p>
            <w:pPr>
              <w:pStyle w:val="3"/>
              <w:adjustRightInd w:val="0"/>
              <w:snapToGrid w:val="0"/>
              <w:spacing w:after="0"/>
              <w:rPr>
                <w:rFonts w:cs="Times New Roman" w:eastAsiaTheme="majorEastAsia"/>
                <w:bCs/>
                <w:color w:val="000000"/>
                <w:lang w:val="en-US" w:eastAsia="zh-CN"/>
              </w:rPr>
            </w:pPr>
            <w:r>
              <w:rPr>
                <w:rFonts w:hint="eastAsia" w:ascii="宋体" w:hAnsi="宋体" w:cs="宋体"/>
                <w:bCs/>
                <w:color w:val="000000"/>
                <w:lang w:eastAsia="zh-CN"/>
              </w:rPr>
              <w:t>简易案件理由（可以单选，也可以多选）</w:t>
            </w:r>
          </w:p>
        </w:tc>
        <w:tc>
          <w:tcPr>
            <w:tcW w:w="7700" w:type="dxa"/>
            <w:gridSpan w:val="2"/>
            <w:vAlign w:val="center"/>
          </w:tcPr>
          <w:p>
            <w:pPr>
              <w:pStyle w:val="3"/>
              <w:adjustRightInd w:val="0"/>
              <w:snapToGrid w:val="0"/>
              <w:spacing w:after="0"/>
              <w:rPr>
                <w:rFonts w:cs="Times New Roman" w:eastAsiaTheme="majorEastAsia"/>
                <w:bCs/>
                <w:color w:val="000000"/>
                <w:lang w:val="en-US" w:eastAsia="zh-CN"/>
              </w:rPr>
            </w:pPr>
            <w:r>
              <w:rPr>
                <w:rFonts w:cs="Times New Roman" w:eastAsiaTheme="majorEastAsia"/>
                <w:bCs/>
                <w:color w:val="000000"/>
                <w:lang w:eastAsia="zh-CN"/>
              </w:rPr>
              <w:sym w:font="Wingdings" w:char="00A8"/>
            </w:r>
            <w:r>
              <w:rPr>
                <w:rFonts w:cs="Times New Roman" w:eastAsiaTheme="majorEastAsia"/>
                <w:bCs/>
                <w:color w:val="000000"/>
                <w:lang w:eastAsia="zh-CN"/>
              </w:rPr>
              <w:t xml:space="preserve"> 1、在同一相关市场，所有参与集中的经营者所占市场份额之和小于15%。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1940" w:type="dxa"/>
            <w:vMerge w:val="continue"/>
            <w:shd w:val="clear" w:color="auto" w:fill="D9D9D9"/>
            <w:vAlign w:val="center"/>
          </w:tcPr>
          <w:p>
            <w:pPr>
              <w:pStyle w:val="3"/>
              <w:adjustRightInd w:val="0"/>
              <w:snapToGrid w:val="0"/>
              <w:spacing w:after="0"/>
              <w:rPr>
                <w:rFonts w:cs="Times New Roman" w:eastAsiaTheme="majorEastAsia"/>
                <w:bCs/>
                <w:color w:val="000000"/>
                <w:lang w:val="en-US" w:eastAsia="zh-CN"/>
              </w:rPr>
            </w:pPr>
          </w:p>
        </w:tc>
        <w:tc>
          <w:tcPr>
            <w:tcW w:w="7700" w:type="dxa"/>
            <w:gridSpan w:val="2"/>
            <w:vAlign w:val="center"/>
          </w:tcPr>
          <w:p>
            <w:pPr>
              <w:pStyle w:val="3"/>
              <w:adjustRightInd w:val="0"/>
              <w:snapToGrid w:val="0"/>
              <w:spacing w:after="0"/>
              <w:rPr>
                <w:rFonts w:cs="Times New Roman" w:eastAsiaTheme="majorEastAsia"/>
                <w:bCs/>
                <w:color w:val="000000"/>
                <w:lang w:val="en-US" w:eastAsia="zh-CN"/>
              </w:rPr>
            </w:pPr>
            <w:r>
              <w:rPr>
                <w:rFonts w:cs="Times New Roman" w:eastAsiaTheme="majorEastAsia"/>
                <w:bCs/>
                <w:color w:val="000000"/>
                <w:lang w:eastAsia="zh-CN"/>
              </w:rPr>
              <w:sym w:font="Wingdings" w:char="00A8"/>
            </w:r>
            <w:r>
              <w:rPr>
                <w:rFonts w:cs="Times New Roman" w:eastAsiaTheme="majorEastAsia"/>
                <w:bCs/>
                <w:color w:val="000000"/>
                <w:lang w:eastAsia="zh-CN"/>
              </w:rPr>
              <w:t xml:space="preserve"> 2、存在上下游关系的参与集中的经营者，在上下游市场所占的市场份额均小于25%。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940" w:type="dxa"/>
            <w:vMerge w:val="continue"/>
            <w:shd w:val="clear" w:color="auto" w:fill="D9D9D9"/>
            <w:vAlign w:val="center"/>
          </w:tcPr>
          <w:p>
            <w:pPr>
              <w:pStyle w:val="3"/>
              <w:adjustRightInd w:val="0"/>
              <w:snapToGrid w:val="0"/>
              <w:spacing w:after="0"/>
              <w:rPr>
                <w:rFonts w:cs="Times New Roman" w:eastAsiaTheme="majorEastAsia"/>
                <w:bCs/>
                <w:color w:val="000000"/>
                <w:lang w:val="en-US" w:eastAsia="zh-CN"/>
              </w:rPr>
            </w:pPr>
          </w:p>
        </w:tc>
        <w:tc>
          <w:tcPr>
            <w:tcW w:w="7700" w:type="dxa"/>
            <w:gridSpan w:val="2"/>
            <w:vAlign w:val="center"/>
          </w:tcPr>
          <w:p>
            <w:pPr>
              <w:pStyle w:val="3"/>
              <w:adjustRightInd w:val="0"/>
              <w:snapToGrid w:val="0"/>
              <w:spacing w:after="0"/>
              <w:rPr>
                <w:rFonts w:cs="Times New Roman" w:eastAsiaTheme="majorEastAsia"/>
                <w:bCs/>
                <w:color w:val="000000"/>
                <w:lang w:val="en-US" w:eastAsia="zh-CN"/>
              </w:rPr>
            </w:pPr>
            <w:r>
              <w:rPr>
                <w:rFonts w:cs="Times New Roman" w:eastAsiaTheme="majorEastAsia"/>
                <w:bCs/>
                <w:color w:val="000000"/>
                <w:lang w:eastAsia="zh-CN"/>
              </w:rPr>
              <w:sym w:font="Wingdings" w:char="00FE"/>
            </w:r>
            <w:r>
              <w:rPr>
                <w:rFonts w:cs="Times New Roman" w:eastAsiaTheme="majorEastAsia"/>
                <w:bCs/>
                <w:color w:val="000000"/>
                <w:lang w:eastAsia="zh-CN"/>
              </w:rPr>
              <w:t xml:space="preserve"> 3、不在同一相关市场、也不存在上下游关系的参与集中的经营者，在与交易有关的每个市场所占的份额均小于25%。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0" w:hRule="atLeast"/>
        </w:trPr>
        <w:tc>
          <w:tcPr>
            <w:tcW w:w="1940" w:type="dxa"/>
            <w:vMerge w:val="continue"/>
            <w:shd w:val="clear" w:color="auto" w:fill="D9D9D9"/>
            <w:vAlign w:val="center"/>
          </w:tcPr>
          <w:p>
            <w:pPr>
              <w:pStyle w:val="3"/>
              <w:adjustRightInd w:val="0"/>
              <w:snapToGrid w:val="0"/>
              <w:spacing w:after="0"/>
              <w:rPr>
                <w:rFonts w:cs="Times New Roman" w:eastAsiaTheme="majorEastAsia"/>
                <w:bCs/>
                <w:color w:val="000000"/>
                <w:lang w:val="en-US" w:eastAsia="zh-CN"/>
              </w:rPr>
            </w:pPr>
          </w:p>
        </w:tc>
        <w:tc>
          <w:tcPr>
            <w:tcW w:w="7700" w:type="dxa"/>
            <w:gridSpan w:val="2"/>
            <w:vAlign w:val="center"/>
          </w:tcPr>
          <w:p>
            <w:pPr>
              <w:pStyle w:val="3"/>
              <w:adjustRightInd w:val="0"/>
              <w:snapToGrid w:val="0"/>
              <w:spacing w:after="0"/>
              <w:rPr>
                <w:rFonts w:cs="Times New Roman" w:eastAsiaTheme="majorEastAsia"/>
                <w:bCs/>
                <w:color w:val="000000"/>
                <w:lang w:val="en-US" w:eastAsia="zh-CN"/>
              </w:rPr>
            </w:pPr>
            <w:r>
              <w:rPr>
                <w:rFonts w:cs="Times New Roman" w:eastAsiaTheme="majorEastAsia"/>
                <w:bCs/>
                <w:color w:val="000000"/>
                <w:lang w:eastAsia="zh-CN"/>
              </w:rPr>
              <w:sym w:font="Wingdings" w:char="00A8"/>
            </w:r>
            <w:r>
              <w:rPr>
                <w:rFonts w:cs="Times New Roman" w:eastAsiaTheme="majorEastAsia"/>
                <w:bCs/>
                <w:color w:val="000000"/>
                <w:lang w:eastAsia="zh-CN"/>
              </w:rPr>
              <w:t xml:space="preserve"> 4、参与集中的经营者在中国境外设立合营企业，合营企业不在中国境内从事经济活动。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4" w:hRule="atLeast"/>
        </w:trPr>
        <w:tc>
          <w:tcPr>
            <w:tcW w:w="1940" w:type="dxa"/>
            <w:vMerge w:val="continue"/>
            <w:shd w:val="clear" w:color="auto" w:fill="D9D9D9"/>
            <w:vAlign w:val="center"/>
          </w:tcPr>
          <w:p>
            <w:pPr>
              <w:pStyle w:val="3"/>
              <w:adjustRightInd w:val="0"/>
              <w:snapToGrid w:val="0"/>
              <w:spacing w:after="0"/>
              <w:rPr>
                <w:rFonts w:cs="Times New Roman" w:eastAsiaTheme="majorEastAsia"/>
                <w:bCs/>
                <w:color w:val="000000"/>
                <w:lang w:val="en-US" w:eastAsia="zh-CN"/>
              </w:rPr>
            </w:pPr>
          </w:p>
        </w:tc>
        <w:tc>
          <w:tcPr>
            <w:tcW w:w="7700" w:type="dxa"/>
            <w:gridSpan w:val="2"/>
            <w:vAlign w:val="center"/>
          </w:tcPr>
          <w:p>
            <w:pPr>
              <w:pStyle w:val="3"/>
              <w:adjustRightInd w:val="0"/>
              <w:snapToGrid w:val="0"/>
              <w:spacing w:after="0"/>
              <w:rPr>
                <w:rFonts w:cs="Times New Roman" w:eastAsiaTheme="majorEastAsia"/>
                <w:bCs/>
                <w:color w:val="000000"/>
                <w:lang w:val="en-US" w:eastAsia="zh-CN"/>
              </w:rPr>
            </w:pPr>
            <w:r>
              <w:rPr>
                <w:rFonts w:cs="Times New Roman" w:eastAsiaTheme="majorEastAsia"/>
                <w:bCs/>
                <w:color w:val="000000"/>
                <w:lang w:eastAsia="zh-CN"/>
              </w:rPr>
              <w:sym w:font="Wingdings" w:char="00A8"/>
            </w:r>
            <w:r>
              <w:rPr>
                <w:rFonts w:cs="Times New Roman" w:eastAsiaTheme="majorEastAsia"/>
                <w:bCs/>
                <w:color w:val="000000"/>
                <w:lang w:eastAsia="zh-CN"/>
              </w:rPr>
              <w:t xml:space="preserve"> 5、参与集中的经营者收购境外企业股权或资产的，该境外企业不在中国境内从事经济活动。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5" w:hRule="atLeast"/>
        </w:trPr>
        <w:tc>
          <w:tcPr>
            <w:tcW w:w="1940" w:type="dxa"/>
            <w:vMerge w:val="continue"/>
            <w:shd w:val="clear" w:color="auto" w:fill="D9D9D9"/>
            <w:vAlign w:val="center"/>
          </w:tcPr>
          <w:p>
            <w:pPr>
              <w:pStyle w:val="3"/>
              <w:adjustRightInd w:val="0"/>
              <w:snapToGrid w:val="0"/>
              <w:spacing w:after="0"/>
              <w:rPr>
                <w:rFonts w:cs="Times New Roman" w:eastAsiaTheme="majorEastAsia"/>
                <w:bCs/>
                <w:color w:val="000000"/>
                <w:lang w:val="en-US" w:eastAsia="zh-CN"/>
              </w:rPr>
            </w:pPr>
          </w:p>
        </w:tc>
        <w:tc>
          <w:tcPr>
            <w:tcW w:w="7700" w:type="dxa"/>
            <w:gridSpan w:val="2"/>
            <w:vAlign w:val="center"/>
          </w:tcPr>
          <w:p>
            <w:pPr>
              <w:pStyle w:val="3"/>
              <w:adjustRightInd w:val="0"/>
              <w:snapToGrid w:val="0"/>
              <w:spacing w:after="0"/>
              <w:rPr>
                <w:rFonts w:cs="Times New Roman" w:eastAsiaTheme="majorEastAsia"/>
                <w:bCs/>
                <w:color w:val="000000"/>
                <w:lang w:val="en-US" w:eastAsia="zh-CN"/>
              </w:rPr>
            </w:pPr>
            <w:r>
              <w:rPr>
                <w:rFonts w:cs="Times New Roman" w:eastAsiaTheme="majorEastAsia"/>
                <w:bCs/>
                <w:color w:val="000000"/>
                <w:lang w:eastAsia="zh-CN"/>
              </w:rPr>
              <w:sym w:font="Wingdings" w:char="00A8"/>
            </w:r>
            <w:r>
              <w:rPr>
                <w:rFonts w:cs="Times New Roman" w:eastAsiaTheme="majorEastAsia"/>
                <w:bCs/>
                <w:color w:val="000000"/>
                <w:lang w:eastAsia="zh-CN"/>
              </w:rPr>
              <w:t xml:space="preserve"> 6、由两个以上的经营者共同控制的合营企业，通过集中被其中一个或一个以上经营者控制。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5" w:hRule="atLeast"/>
        </w:trPr>
        <w:tc>
          <w:tcPr>
            <w:tcW w:w="1940" w:type="dxa"/>
            <w:shd w:val="clear" w:color="auto" w:fill="D9D9D9"/>
            <w:vAlign w:val="center"/>
          </w:tcPr>
          <w:p>
            <w:pPr>
              <w:pStyle w:val="3"/>
              <w:adjustRightInd w:val="0"/>
              <w:snapToGrid w:val="0"/>
              <w:spacing w:after="0"/>
              <w:rPr>
                <w:rFonts w:cs="Times New Roman" w:eastAsiaTheme="majorEastAsia"/>
                <w:bCs/>
                <w:color w:val="000000"/>
                <w:lang w:val="en-US" w:eastAsia="zh-CN"/>
              </w:rPr>
            </w:pPr>
            <w:r>
              <w:rPr>
                <w:rFonts w:cs="Times New Roman" w:eastAsiaTheme="majorEastAsia"/>
                <w:bCs/>
                <w:color w:val="000000"/>
                <w:lang w:val="en-US" w:eastAsia="zh-CN"/>
              </w:rPr>
              <w:t>备注</w:t>
            </w:r>
          </w:p>
        </w:tc>
        <w:tc>
          <w:tcPr>
            <w:tcW w:w="7700" w:type="dxa"/>
            <w:gridSpan w:val="2"/>
            <w:vAlign w:val="center"/>
          </w:tcPr>
          <w:p>
            <w:pPr>
              <w:pStyle w:val="3"/>
              <w:adjustRightInd w:val="0"/>
              <w:snapToGrid w:val="0"/>
              <w:spacing w:after="0"/>
              <w:rPr>
                <w:rFonts w:cs="Times New Roman" w:eastAsiaTheme="majorEastAsia"/>
                <w:b/>
                <w:color w:val="000000"/>
                <w:lang w:eastAsia="zh-CN"/>
              </w:rPr>
            </w:pPr>
            <w:r>
              <w:rPr>
                <w:rFonts w:hint="eastAsia" w:cs="Times New Roman" w:eastAsiaTheme="majorEastAsia"/>
                <w:b/>
                <w:color w:val="000000"/>
                <w:lang w:eastAsia="zh-CN"/>
              </w:rPr>
              <w:t>混合集中</w:t>
            </w:r>
            <w:r>
              <w:rPr>
                <w:rFonts w:cs="Times New Roman" w:eastAsiaTheme="majorEastAsia"/>
                <w:b/>
                <w:color w:val="000000"/>
                <w:lang w:eastAsia="zh-CN"/>
              </w:rPr>
              <w:t>：</w:t>
            </w:r>
          </w:p>
          <w:p>
            <w:pPr>
              <w:pStyle w:val="3"/>
              <w:adjustRightInd w:val="0"/>
              <w:snapToGrid w:val="0"/>
              <w:spacing w:after="0"/>
              <w:rPr>
                <w:rFonts w:cs="Times New Roman" w:eastAsiaTheme="majorEastAsia"/>
                <w:bCs/>
                <w:color w:val="000000"/>
                <w:lang w:eastAsia="zh-CN"/>
              </w:rPr>
            </w:pPr>
            <w:r>
              <w:rPr>
                <w:rFonts w:cs="Times New Roman" w:eastAsiaTheme="majorEastAsia"/>
                <w:bCs/>
                <w:color w:val="000000"/>
                <w:lang w:eastAsia="zh-CN"/>
              </w:rPr>
              <w:t>2024</w:t>
            </w:r>
            <w:r>
              <w:rPr>
                <w:rFonts w:hint="eastAsia" w:cs="Times New Roman" w:eastAsiaTheme="majorEastAsia"/>
                <w:bCs/>
                <w:color w:val="000000"/>
                <w:lang w:eastAsia="zh-CN"/>
              </w:rPr>
              <w:t>年中国境内医药用软包装市场：</w:t>
            </w:r>
          </w:p>
          <w:p>
            <w:pPr>
              <w:rPr>
                <w:rFonts w:eastAsiaTheme="majorEastAsia"/>
              </w:rPr>
            </w:pPr>
            <w:r>
              <w:rPr>
                <w:rFonts w:hint="eastAsia" w:ascii="Times New Roman" w:hAnsi="Times New Roman" w:eastAsiaTheme="majorEastAsia"/>
                <w:sz w:val="24"/>
                <w:szCs w:val="24"/>
              </w:rPr>
              <w:t>目标公司：0-5</w:t>
            </w:r>
            <w:r>
              <w:rPr>
                <w:rFonts w:ascii="Times New Roman" w:hAnsi="Times New Roman" w:eastAsiaTheme="majorEastAsia"/>
                <w:sz w:val="24"/>
                <w:szCs w:val="24"/>
              </w:rPr>
              <w:t>%</w:t>
            </w:r>
          </w:p>
          <w:p>
            <w:pPr>
              <w:pStyle w:val="3"/>
              <w:adjustRightInd w:val="0"/>
              <w:snapToGrid w:val="0"/>
              <w:spacing w:after="0"/>
              <w:rPr>
                <w:rFonts w:cs="Times New Roman" w:eastAsiaTheme="majorEastAsia"/>
                <w:bCs/>
                <w:color w:val="000000"/>
                <w:lang w:eastAsia="zh-CN"/>
              </w:rPr>
            </w:pPr>
          </w:p>
        </w:tc>
      </w:tr>
    </w:tbl>
    <w:p>
      <w:pPr>
        <w:pStyle w:val="3"/>
        <w:adjustRightInd w:val="0"/>
        <w:snapToGrid w:val="0"/>
        <w:spacing w:after="0"/>
        <w:rPr>
          <w:rFonts w:eastAsia="仿宋" w:cs="Times New Roman"/>
          <w:b/>
          <w:color w:val="000000"/>
          <w:lang w:eastAsia="zh-CN"/>
        </w:rPr>
      </w:pPr>
    </w:p>
    <w:p>
      <w:pPr>
        <w:rPr>
          <w:rFonts w:ascii="Times New Roman" w:hAnsi="Times New Roman" w:eastAsia="仿宋"/>
          <w:sz w:val="24"/>
          <w:szCs w:val="24"/>
        </w:rPr>
      </w:pPr>
    </w:p>
    <w:sectPr>
      <w:footerReference r:id="rId4" w:type="first"/>
      <w:footerReference r:id="rId3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altName w:val="Times New Roman"/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altName w:val="DejaVu Sans"/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2000609000000000000"/>
    <w:charset w:val="02"/>
    <w:family w:val="roman"/>
    <w:pitch w:val="default"/>
    <w:sig w:usb0="800000AF" w:usb1="4000204A" w:usb2="00000000" w:usb3="00000000" w:csb0="20000000" w:csb1="00000000"/>
  </w:font>
  <w:font w:name="Calibri">
    <w:altName w:val="微软雅黑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Simplified Arabic">
    <w:altName w:val="Times New Roman"/>
    <w:panose1 w:val="02020603050405020304"/>
    <w:charset w:val="00"/>
    <w:family w:val="roman"/>
    <w:pitch w:val="default"/>
    <w:sig w:usb0="00000000" w:usb1="00000000" w:usb2="00000000" w:usb3="00000000" w:csb0="00000041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tabs>
        <w:tab w:val="right" w:pos="8300"/>
      </w:tabs>
      <w:rPr>
        <w:rFonts w:ascii="Times New Roman" w:hAnsi="Times New Roman"/>
        <w:sz w:val="15"/>
      </w:rPr>
    </w:pPr>
    <w:r>
      <w:rPr>
        <w:rFonts w:ascii="Times New Roman" w:hAnsi="Times New Roman"/>
        <w:sz w:val="14"/>
      </w:rPr>
      <w:tab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6"/>
    </w:pPr>
  </w:p>
  <w:p>
    <w:pPr>
      <w:tabs>
        <w:tab w:val="right" w:pos="8300"/>
      </w:tabs>
      <w:rPr>
        <w:rFonts w:ascii="Times New Roman" w:hAnsi="Times New Roman"/>
        <w:sz w:val="15"/>
      </w:rPr>
    </w:pPr>
    <w:r>
      <w:rPr>
        <w:rFonts w:ascii="Times New Roman" w:hAnsi="Times New Roman"/>
        <w:sz w:val="14"/>
      </w:rPr>
      <w:fldChar w:fldCharType="begin"/>
    </w:r>
    <w:r>
      <w:rPr>
        <w:rFonts w:ascii="Times New Roman" w:hAnsi="Times New Roman"/>
        <w:sz w:val="14"/>
      </w:rPr>
      <w:instrText xml:space="preserve"> DOCPROPERTY DPWPathText \* MERGEFORMAT </w:instrText>
    </w:r>
    <w:r>
      <w:rPr>
        <w:rFonts w:ascii="Times New Roman" w:hAnsi="Times New Roman"/>
        <w:sz w:val="14"/>
      </w:rPr>
      <w:fldChar w:fldCharType="separate"/>
    </w:r>
    <w:r>
      <w:rPr>
        <w:rFonts w:ascii="Times New Roman" w:hAnsi="Times New Roman"/>
        <w:sz w:val="14"/>
      </w:rPr>
      <w:t>#97717177v5</w:t>
    </w:r>
    <w:r>
      <w:rPr>
        <w:rFonts w:ascii="Times New Roman" w:hAnsi="Times New Roman"/>
        <w:sz w:val="14"/>
      </w:rPr>
      <w:fldChar w:fldCharType="end"/>
    </w:r>
    <w:r>
      <w:rPr>
        <w:rFonts w:ascii="Times New Roman" w:hAnsi="Times New Roman"/>
        <w:sz w:val="14"/>
      </w:rPr>
      <w:tab/>
    </w: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698B46E6"/>
    <w:multiLevelType w:val="multilevel"/>
    <w:tmpl w:val="698B46E6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80" w:hanging="440"/>
      </w:pPr>
    </w:lvl>
    <w:lvl w:ilvl="2" w:tentative="0">
      <w:start w:val="1"/>
      <w:numFmt w:val="lowerRoman"/>
      <w:lvlText w:val="%3."/>
      <w:lvlJc w:val="righ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oNotDisplayPageBoundaries w:val="true"/>
  <w:embedTrueTypeFonts/>
  <w:saveSubsetFonts/>
  <w:bordersDoNotSurroundHeader w:val="true"/>
  <w:bordersDoNotSurroundFooter w:val="true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__Grammarly_42____i" w:val="H4sIAAAAAAAEAKtWckksSQxILCpxzi/NK1GyMqwFAAEhoTITAAAA"/>
    <w:docVar w:name="__Grammarly_42___1" w:val="H4sIAAAAAAAEAKtWcslP9kxRslIyNDYyNjYxMDQGAiMjS1MDYyUdpeDU4uLM/DyQAsNaAAxkURMsAAAA"/>
  </w:docVars>
  <w:rsids>
    <w:rsidRoot w:val="00074D3D"/>
    <w:rsid w:val="00010F64"/>
    <w:rsid w:val="000136AE"/>
    <w:rsid w:val="0001697C"/>
    <w:rsid w:val="000240FA"/>
    <w:rsid w:val="00035FBA"/>
    <w:rsid w:val="00036E43"/>
    <w:rsid w:val="0005556E"/>
    <w:rsid w:val="000604A9"/>
    <w:rsid w:val="00074D3D"/>
    <w:rsid w:val="00082A31"/>
    <w:rsid w:val="00092C79"/>
    <w:rsid w:val="000A0AA4"/>
    <w:rsid w:val="000A2D7D"/>
    <w:rsid w:val="000A50B3"/>
    <w:rsid w:val="000C5DCE"/>
    <w:rsid w:val="000D2B8F"/>
    <w:rsid w:val="000F04BC"/>
    <w:rsid w:val="000F25B0"/>
    <w:rsid w:val="001102CC"/>
    <w:rsid w:val="001118B2"/>
    <w:rsid w:val="001151F7"/>
    <w:rsid w:val="00115EDD"/>
    <w:rsid w:val="0012433D"/>
    <w:rsid w:val="001330CB"/>
    <w:rsid w:val="00144166"/>
    <w:rsid w:val="001531F0"/>
    <w:rsid w:val="00172C77"/>
    <w:rsid w:val="001921BD"/>
    <w:rsid w:val="001A2E7E"/>
    <w:rsid w:val="001A71C0"/>
    <w:rsid w:val="001A7487"/>
    <w:rsid w:val="001C5A27"/>
    <w:rsid w:val="001E5EC9"/>
    <w:rsid w:val="001F6140"/>
    <w:rsid w:val="001F64D6"/>
    <w:rsid w:val="00200C41"/>
    <w:rsid w:val="00213334"/>
    <w:rsid w:val="00217887"/>
    <w:rsid w:val="00223618"/>
    <w:rsid w:val="00234B37"/>
    <w:rsid w:val="002875EE"/>
    <w:rsid w:val="002A1561"/>
    <w:rsid w:val="002A17E2"/>
    <w:rsid w:val="002A27D5"/>
    <w:rsid w:val="002B3A6A"/>
    <w:rsid w:val="002C3658"/>
    <w:rsid w:val="002C4805"/>
    <w:rsid w:val="002C4B86"/>
    <w:rsid w:val="002C6D97"/>
    <w:rsid w:val="002C7949"/>
    <w:rsid w:val="002E582A"/>
    <w:rsid w:val="002E7C3C"/>
    <w:rsid w:val="002F0F31"/>
    <w:rsid w:val="002F730C"/>
    <w:rsid w:val="003047E0"/>
    <w:rsid w:val="00330415"/>
    <w:rsid w:val="0034412A"/>
    <w:rsid w:val="00363D45"/>
    <w:rsid w:val="00367DAA"/>
    <w:rsid w:val="00370A5E"/>
    <w:rsid w:val="003842FC"/>
    <w:rsid w:val="0039111D"/>
    <w:rsid w:val="00395012"/>
    <w:rsid w:val="003A3C98"/>
    <w:rsid w:val="003B2B22"/>
    <w:rsid w:val="003B3A48"/>
    <w:rsid w:val="003B4371"/>
    <w:rsid w:val="003C3255"/>
    <w:rsid w:val="003C7BA0"/>
    <w:rsid w:val="003D21EE"/>
    <w:rsid w:val="003D3BE6"/>
    <w:rsid w:val="003E03EC"/>
    <w:rsid w:val="003E25D4"/>
    <w:rsid w:val="003E49BA"/>
    <w:rsid w:val="003E74D2"/>
    <w:rsid w:val="0043043C"/>
    <w:rsid w:val="00450606"/>
    <w:rsid w:val="00455312"/>
    <w:rsid w:val="00467AD0"/>
    <w:rsid w:val="0047223A"/>
    <w:rsid w:val="004914EC"/>
    <w:rsid w:val="004B7AC2"/>
    <w:rsid w:val="004D16CF"/>
    <w:rsid w:val="004D62E0"/>
    <w:rsid w:val="004D7723"/>
    <w:rsid w:val="004F26C2"/>
    <w:rsid w:val="005117A4"/>
    <w:rsid w:val="0051525B"/>
    <w:rsid w:val="00522B8F"/>
    <w:rsid w:val="00525194"/>
    <w:rsid w:val="0055706A"/>
    <w:rsid w:val="005579FF"/>
    <w:rsid w:val="005631CF"/>
    <w:rsid w:val="005648A5"/>
    <w:rsid w:val="00570F77"/>
    <w:rsid w:val="005A503D"/>
    <w:rsid w:val="005B1F0C"/>
    <w:rsid w:val="005B37E1"/>
    <w:rsid w:val="005D0340"/>
    <w:rsid w:val="005F174E"/>
    <w:rsid w:val="00600B0D"/>
    <w:rsid w:val="006051CC"/>
    <w:rsid w:val="006064F9"/>
    <w:rsid w:val="00615A86"/>
    <w:rsid w:val="00620177"/>
    <w:rsid w:val="00622628"/>
    <w:rsid w:val="00632F61"/>
    <w:rsid w:val="00632FBE"/>
    <w:rsid w:val="0065404B"/>
    <w:rsid w:val="0067329D"/>
    <w:rsid w:val="00675B31"/>
    <w:rsid w:val="00691CEC"/>
    <w:rsid w:val="006A3BC5"/>
    <w:rsid w:val="006A696B"/>
    <w:rsid w:val="006B2D53"/>
    <w:rsid w:val="006C1A4A"/>
    <w:rsid w:val="006C6024"/>
    <w:rsid w:val="006D5291"/>
    <w:rsid w:val="006E0E4F"/>
    <w:rsid w:val="006E23B6"/>
    <w:rsid w:val="006E33DF"/>
    <w:rsid w:val="006E48E6"/>
    <w:rsid w:val="006F5967"/>
    <w:rsid w:val="006F741C"/>
    <w:rsid w:val="007023CF"/>
    <w:rsid w:val="007070A6"/>
    <w:rsid w:val="007122F7"/>
    <w:rsid w:val="00716957"/>
    <w:rsid w:val="007274E7"/>
    <w:rsid w:val="007421A9"/>
    <w:rsid w:val="007733E0"/>
    <w:rsid w:val="00782098"/>
    <w:rsid w:val="007C28D2"/>
    <w:rsid w:val="007C3FA2"/>
    <w:rsid w:val="007C6E34"/>
    <w:rsid w:val="007D41A5"/>
    <w:rsid w:val="007D65ED"/>
    <w:rsid w:val="007E6958"/>
    <w:rsid w:val="007F59DF"/>
    <w:rsid w:val="00800CB6"/>
    <w:rsid w:val="0081054C"/>
    <w:rsid w:val="0083472D"/>
    <w:rsid w:val="00835197"/>
    <w:rsid w:val="00835C35"/>
    <w:rsid w:val="00880FED"/>
    <w:rsid w:val="008D1232"/>
    <w:rsid w:val="008F494B"/>
    <w:rsid w:val="008F7CAB"/>
    <w:rsid w:val="0090274A"/>
    <w:rsid w:val="00905FDE"/>
    <w:rsid w:val="00907516"/>
    <w:rsid w:val="00913269"/>
    <w:rsid w:val="009171D6"/>
    <w:rsid w:val="0093225A"/>
    <w:rsid w:val="00936F6F"/>
    <w:rsid w:val="0093742C"/>
    <w:rsid w:val="00941F2C"/>
    <w:rsid w:val="00944B21"/>
    <w:rsid w:val="00964685"/>
    <w:rsid w:val="009702C0"/>
    <w:rsid w:val="00977C25"/>
    <w:rsid w:val="00986E6E"/>
    <w:rsid w:val="00991E50"/>
    <w:rsid w:val="009A2476"/>
    <w:rsid w:val="009B66AD"/>
    <w:rsid w:val="009B7D70"/>
    <w:rsid w:val="009C7437"/>
    <w:rsid w:val="009D7DDA"/>
    <w:rsid w:val="009E69BB"/>
    <w:rsid w:val="00A162D8"/>
    <w:rsid w:val="00A2578E"/>
    <w:rsid w:val="00A52987"/>
    <w:rsid w:val="00A607BA"/>
    <w:rsid w:val="00A678BE"/>
    <w:rsid w:val="00A703C2"/>
    <w:rsid w:val="00AA676A"/>
    <w:rsid w:val="00AC4A79"/>
    <w:rsid w:val="00AC7905"/>
    <w:rsid w:val="00AD6ED4"/>
    <w:rsid w:val="00AE2F8D"/>
    <w:rsid w:val="00AE438F"/>
    <w:rsid w:val="00AE5974"/>
    <w:rsid w:val="00AE6AF6"/>
    <w:rsid w:val="00AF45B6"/>
    <w:rsid w:val="00AF623D"/>
    <w:rsid w:val="00AF7030"/>
    <w:rsid w:val="00B13DE8"/>
    <w:rsid w:val="00B23C7E"/>
    <w:rsid w:val="00B246EB"/>
    <w:rsid w:val="00B25085"/>
    <w:rsid w:val="00B30C1E"/>
    <w:rsid w:val="00B33953"/>
    <w:rsid w:val="00B37F9E"/>
    <w:rsid w:val="00B411A3"/>
    <w:rsid w:val="00B54D86"/>
    <w:rsid w:val="00B76377"/>
    <w:rsid w:val="00B872E0"/>
    <w:rsid w:val="00B90789"/>
    <w:rsid w:val="00BA3A3C"/>
    <w:rsid w:val="00BA43AC"/>
    <w:rsid w:val="00BA6533"/>
    <w:rsid w:val="00BA7683"/>
    <w:rsid w:val="00BA7898"/>
    <w:rsid w:val="00BB5A1D"/>
    <w:rsid w:val="00BF0A8C"/>
    <w:rsid w:val="00BF41C5"/>
    <w:rsid w:val="00C14D43"/>
    <w:rsid w:val="00C32A64"/>
    <w:rsid w:val="00C32AA1"/>
    <w:rsid w:val="00C3395C"/>
    <w:rsid w:val="00C33AE6"/>
    <w:rsid w:val="00C55770"/>
    <w:rsid w:val="00C60F61"/>
    <w:rsid w:val="00C6502F"/>
    <w:rsid w:val="00C67B34"/>
    <w:rsid w:val="00C71C4F"/>
    <w:rsid w:val="00C724B4"/>
    <w:rsid w:val="00C77780"/>
    <w:rsid w:val="00C856D1"/>
    <w:rsid w:val="00C91B50"/>
    <w:rsid w:val="00CC1B6E"/>
    <w:rsid w:val="00CC2230"/>
    <w:rsid w:val="00CC4B26"/>
    <w:rsid w:val="00CD4EC7"/>
    <w:rsid w:val="00CD51F6"/>
    <w:rsid w:val="00CE08D9"/>
    <w:rsid w:val="00CE4E97"/>
    <w:rsid w:val="00D114EB"/>
    <w:rsid w:val="00DB5DCA"/>
    <w:rsid w:val="00DB74B8"/>
    <w:rsid w:val="00DC2052"/>
    <w:rsid w:val="00DC6E40"/>
    <w:rsid w:val="00DD4B15"/>
    <w:rsid w:val="00DE039F"/>
    <w:rsid w:val="00E13AB7"/>
    <w:rsid w:val="00E239C0"/>
    <w:rsid w:val="00E30037"/>
    <w:rsid w:val="00E30980"/>
    <w:rsid w:val="00E4224C"/>
    <w:rsid w:val="00E42635"/>
    <w:rsid w:val="00E46556"/>
    <w:rsid w:val="00E47A30"/>
    <w:rsid w:val="00E7641C"/>
    <w:rsid w:val="00E76E5C"/>
    <w:rsid w:val="00E82512"/>
    <w:rsid w:val="00E86B58"/>
    <w:rsid w:val="00E947A9"/>
    <w:rsid w:val="00EB781F"/>
    <w:rsid w:val="00EC0EFF"/>
    <w:rsid w:val="00ED201F"/>
    <w:rsid w:val="00ED283B"/>
    <w:rsid w:val="00ED4531"/>
    <w:rsid w:val="00ED5DF6"/>
    <w:rsid w:val="00ED6329"/>
    <w:rsid w:val="00F17037"/>
    <w:rsid w:val="00F379BA"/>
    <w:rsid w:val="00F43A2B"/>
    <w:rsid w:val="00F46D7A"/>
    <w:rsid w:val="00F513B0"/>
    <w:rsid w:val="00F57F1C"/>
    <w:rsid w:val="00F6302B"/>
    <w:rsid w:val="00F74C85"/>
    <w:rsid w:val="00F8403A"/>
    <w:rsid w:val="00F845B8"/>
    <w:rsid w:val="00F93D09"/>
    <w:rsid w:val="00FA5836"/>
    <w:rsid w:val="00FC7039"/>
    <w:rsid w:val="00FE1719"/>
    <w:rsid w:val="00FF62F2"/>
    <w:rsid w:val="FFDBEC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qFormat="1" w:uiPriority="99" w:name="footnote text"/>
    <w:lsdException w:qFormat="1" w:uiPriority="99" w:semiHidden="0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qFormat="1" w:uiPriority="99" w:name="footnote reference"/>
    <w:lsdException w:qFormat="1" w:uiPriority="99" w:semiHidden="0" w:name="annotation reference"/>
    <w:lsdException w:uiPriority="99" w:name="line number"/>
    <w:lsdException w:uiPriority="99" w:name="page number"/>
    <w:lsdException w:qFormat="1" w:uiPriority="99" w:name="endnote reference"/>
    <w:lsdException w:qFormat="1"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nhideWhenUsed="0" w:uiPriority="0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name="Strong"/>
    <w:lsdException w:qFormat="1" w:unhideWhenUsed="0" w:uiPriority="2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qFormat="1"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iPriority="99" w:name="List Paragraph"/>
    <w:lsdException w:qFormat="1" w:uiPriority="99" w:name="Quote"/>
    <w:lsdException w:qFormat="1" w:uiPriority="99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default="1" w:styleId="12">
    <w:name w:val="Default Paragraph Font"/>
    <w:semiHidden/>
    <w:unhideWhenUsed/>
    <w:uiPriority w:val="1"/>
  </w:style>
  <w:style w:type="table" w:default="1" w:styleId="10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annotation text"/>
    <w:basedOn w:val="1"/>
    <w:link w:val="23"/>
    <w:unhideWhenUsed/>
    <w:qFormat/>
    <w:uiPriority w:val="99"/>
    <w:rPr>
      <w:sz w:val="20"/>
      <w:szCs w:val="20"/>
    </w:rPr>
  </w:style>
  <w:style w:type="paragraph" w:styleId="3">
    <w:name w:val="Body Text"/>
    <w:basedOn w:val="1"/>
    <w:link w:val="36"/>
    <w:qFormat/>
    <w:uiPriority w:val="0"/>
    <w:pPr>
      <w:widowControl/>
      <w:spacing w:after="240"/>
    </w:pPr>
    <w:rPr>
      <w:rFonts w:ascii="Times New Roman" w:hAnsi="Times New Roman" w:cs="Simplified Arabic"/>
      <w:kern w:val="0"/>
      <w:sz w:val="24"/>
      <w:szCs w:val="24"/>
      <w:lang w:val="en-GB" w:eastAsia="en-GB" w:bidi="ar-AE"/>
    </w:rPr>
  </w:style>
  <w:style w:type="paragraph" w:styleId="4">
    <w:name w:val="endnote text"/>
    <w:basedOn w:val="1"/>
    <w:link w:val="18"/>
    <w:semiHidden/>
    <w:unhideWhenUsed/>
    <w:qFormat/>
    <w:uiPriority w:val="99"/>
    <w:pPr>
      <w:snapToGrid w:val="0"/>
      <w:jc w:val="left"/>
    </w:pPr>
  </w:style>
  <w:style w:type="paragraph" w:styleId="5">
    <w:name w:val="Balloon Text"/>
    <w:basedOn w:val="1"/>
    <w:link w:val="21"/>
    <w:semiHidden/>
    <w:unhideWhenUsed/>
    <w:qFormat/>
    <w:uiPriority w:val="99"/>
    <w:rPr>
      <w:sz w:val="18"/>
      <w:szCs w:val="18"/>
    </w:rPr>
  </w:style>
  <w:style w:type="paragraph" w:styleId="6">
    <w:name w:val="footer"/>
    <w:basedOn w:val="1"/>
    <w:link w:val="20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7">
    <w:name w:val="header"/>
    <w:basedOn w:val="1"/>
    <w:link w:val="19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8">
    <w:name w:val="footnote text"/>
    <w:basedOn w:val="1"/>
    <w:link w:val="35"/>
    <w:semiHidden/>
    <w:unhideWhenUsed/>
    <w:qFormat/>
    <w:uiPriority w:val="99"/>
    <w:rPr>
      <w:sz w:val="20"/>
      <w:szCs w:val="20"/>
    </w:rPr>
  </w:style>
  <w:style w:type="paragraph" w:styleId="9">
    <w:name w:val="annotation subject"/>
    <w:basedOn w:val="2"/>
    <w:next w:val="2"/>
    <w:link w:val="24"/>
    <w:semiHidden/>
    <w:unhideWhenUsed/>
    <w:qFormat/>
    <w:uiPriority w:val="99"/>
    <w:rPr>
      <w:b/>
      <w:bCs/>
    </w:rPr>
  </w:style>
  <w:style w:type="table" w:styleId="11">
    <w:name w:val="Table Grid"/>
    <w:basedOn w:val="10"/>
    <w:qFormat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13">
    <w:name w:val="Strong"/>
    <w:basedOn w:val="12"/>
    <w:semiHidden/>
    <w:qFormat/>
    <w:uiPriority w:val="22"/>
    <w:rPr>
      <w:b/>
      <w:bCs/>
    </w:rPr>
  </w:style>
  <w:style w:type="character" w:styleId="14">
    <w:name w:val="endnote reference"/>
    <w:semiHidden/>
    <w:unhideWhenUsed/>
    <w:qFormat/>
    <w:uiPriority w:val="99"/>
    <w:rPr>
      <w:vertAlign w:val="superscript"/>
    </w:rPr>
  </w:style>
  <w:style w:type="character" w:styleId="15">
    <w:name w:val="Emphasis"/>
    <w:basedOn w:val="12"/>
    <w:semiHidden/>
    <w:qFormat/>
    <w:uiPriority w:val="20"/>
    <w:rPr>
      <w:i/>
      <w:iCs/>
    </w:rPr>
  </w:style>
  <w:style w:type="character" w:styleId="16">
    <w:name w:val="annotation reference"/>
    <w:basedOn w:val="12"/>
    <w:unhideWhenUsed/>
    <w:qFormat/>
    <w:uiPriority w:val="99"/>
    <w:rPr>
      <w:sz w:val="21"/>
      <w:szCs w:val="21"/>
    </w:rPr>
  </w:style>
  <w:style w:type="character" w:styleId="17">
    <w:name w:val="footnote reference"/>
    <w:basedOn w:val="12"/>
    <w:semiHidden/>
    <w:unhideWhenUsed/>
    <w:qFormat/>
    <w:uiPriority w:val="99"/>
    <w:rPr>
      <w:vertAlign w:val="superscript"/>
    </w:rPr>
  </w:style>
  <w:style w:type="character" w:customStyle="1" w:styleId="18">
    <w:name w:val="尾注文本 Char"/>
    <w:basedOn w:val="12"/>
    <w:link w:val="4"/>
    <w:semiHidden/>
    <w:qFormat/>
    <w:uiPriority w:val="99"/>
  </w:style>
  <w:style w:type="character" w:customStyle="1" w:styleId="19">
    <w:name w:val="页眉 Char"/>
    <w:link w:val="7"/>
    <w:qFormat/>
    <w:uiPriority w:val="99"/>
    <w:rPr>
      <w:sz w:val="18"/>
      <w:szCs w:val="18"/>
    </w:rPr>
  </w:style>
  <w:style w:type="character" w:customStyle="1" w:styleId="20">
    <w:name w:val="页脚 Char"/>
    <w:link w:val="6"/>
    <w:qFormat/>
    <w:uiPriority w:val="99"/>
    <w:rPr>
      <w:sz w:val="18"/>
      <w:szCs w:val="18"/>
    </w:rPr>
  </w:style>
  <w:style w:type="character" w:customStyle="1" w:styleId="21">
    <w:name w:val="批注框文本 Char"/>
    <w:basedOn w:val="12"/>
    <w:link w:val="5"/>
    <w:semiHidden/>
    <w:qFormat/>
    <w:uiPriority w:val="99"/>
    <w:rPr>
      <w:kern w:val="2"/>
      <w:sz w:val="18"/>
      <w:szCs w:val="18"/>
    </w:rPr>
  </w:style>
  <w:style w:type="paragraph" w:customStyle="1" w:styleId="22">
    <w:name w:val="Revision"/>
    <w:hidden/>
    <w:unhideWhenUsed/>
    <w:qFormat/>
    <w:uiPriority w:val="99"/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customStyle="1" w:styleId="23">
    <w:name w:val="批注文字 Char"/>
    <w:basedOn w:val="12"/>
    <w:link w:val="2"/>
    <w:qFormat/>
    <w:uiPriority w:val="99"/>
    <w:rPr>
      <w:kern w:val="2"/>
    </w:rPr>
  </w:style>
  <w:style w:type="character" w:customStyle="1" w:styleId="24">
    <w:name w:val="批注主题 Char"/>
    <w:basedOn w:val="23"/>
    <w:link w:val="9"/>
    <w:semiHidden/>
    <w:qFormat/>
    <w:uiPriority w:val="99"/>
    <w:rPr>
      <w:b/>
      <w:bCs/>
      <w:kern w:val="2"/>
    </w:rPr>
  </w:style>
  <w:style w:type="character" w:customStyle="1" w:styleId="25">
    <w:name w:val="Subtle Emphasis"/>
    <w:basedOn w:val="12"/>
    <w:semiHidden/>
    <w:qFormat/>
    <w:uiPriority w:val="1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6">
    <w:name w:val="Intense Emphasis"/>
    <w:basedOn w:val="12"/>
    <w:semiHidden/>
    <w:qFormat/>
    <w:uiPriority w:val="21"/>
    <w:rPr>
      <w:i/>
      <w:iCs/>
      <w:color w:val="5B9BD5" w:themeColor="accent1"/>
      <w14:textFill>
        <w14:solidFill>
          <w14:schemeClr w14:val="accent1"/>
        </w14:solidFill>
      </w14:textFill>
    </w:rPr>
  </w:style>
  <w:style w:type="paragraph" w:styleId="27">
    <w:name w:val="Quote"/>
    <w:basedOn w:val="1"/>
    <w:next w:val="1"/>
    <w:link w:val="28"/>
    <w:semiHidden/>
    <w:unhideWhenUsed/>
    <w:qFormat/>
    <w:uiPriority w:val="99"/>
    <w:pPr>
      <w:spacing w:before="200" w:after="160"/>
      <w:ind w:left="864" w:right="864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8">
    <w:name w:val="引用 Char"/>
    <w:basedOn w:val="12"/>
    <w:link w:val="27"/>
    <w:semiHidden/>
    <w:qFormat/>
    <w:uiPriority w:val="99"/>
    <w:rPr>
      <w:i/>
      <w:iCs/>
      <w:color w:val="404040" w:themeColor="text1" w:themeTint="BF"/>
      <w:kern w:val="2"/>
      <w:sz w:val="21"/>
      <w:szCs w:val="22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9">
    <w:name w:val="Intense Quote"/>
    <w:basedOn w:val="1"/>
    <w:next w:val="1"/>
    <w:link w:val="30"/>
    <w:semiHidden/>
    <w:unhideWhenUsed/>
    <w:qFormat/>
    <w:uiPriority w:val="99"/>
    <w:pPr>
      <w:pBdr>
        <w:top w:val="single" w:color="5B9BD5" w:themeColor="accent1" w:sz="4" w:space="10"/>
        <w:bottom w:val="single" w:color="5B9BD5" w:themeColor="accent1" w:sz="4" w:space="10"/>
      </w:pBdr>
      <w:spacing w:before="360" w:after="360"/>
      <w:ind w:left="864" w:right="864"/>
      <w:jc w:val="center"/>
    </w:pPr>
    <w:rPr>
      <w:i/>
      <w:iCs/>
      <w:color w:val="5B9BD5" w:themeColor="accent1"/>
      <w14:textFill>
        <w14:solidFill>
          <w14:schemeClr w14:val="accent1"/>
        </w14:solidFill>
      </w14:textFill>
    </w:rPr>
  </w:style>
  <w:style w:type="character" w:customStyle="1" w:styleId="30">
    <w:name w:val="明显引用 Char"/>
    <w:basedOn w:val="12"/>
    <w:link w:val="29"/>
    <w:semiHidden/>
    <w:qFormat/>
    <w:uiPriority w:val="99"/>
    <w:rPr>
      <w:i/>
      <w:iCs/>
      <w:color w:val="5B9BD5" w:themeColor="accent1"/>
      <w:kern w:val="2"/>
      <w:sz w:val="21"/>
      <w:szCs w:val="22"/>
      <w14:textFill>
        <w14:solidFill>
          <w14:schemeClr w14:val="accent1"/>
        </w14:solidFill>
      </w14:textFill>
    </w:rPr>
  </w:style>
  <w:style w:type="character" w:customStyle="1" w:styleId="31">
    <w:name w:val="Subtle Reference"/>
    <w:basedOn w:val="12"/>
    <w:semiHidden/>
    <w:qFormat/>
    <w:uiPriority w:val="31"/>
    <w:rPr>
      <w:smallCap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32">
    <w:name w:val="Intense Reference"/>
    <w:basedOn w:val="12"/>
    <w:semiHidden/>
    <w:qFormat/>
    <w:uiPriority w:val="32"/>
    <w:rPr>
      <w:b/>
      <w:bCs/>
      <w:smallCaps/>
      <w:color w:val="5B9BD5" w:themeColor="accent1"/>
      <w:spacing w:val="5"/>
      <w14:textFill>
        <w14:solidFill>
          <w14:schemeClr w14:val="accent1"/>
        </w14:solidFill>
      </w14:textFill>
    </w:rPr>
  </w:style>
  <w:style w:type="character" w:customStyle="1" w:styleId="33">
    <w:name w:val="Book Title"/>
    <w:basedOn w:val="12"/>
    <w:semiHidden/>
    <w:qFormat/>
    <w:uiPriority w:val="33"/>
    <w:rPr>
      <w:b/>
      <w:bCs/>
      <w:i/>
      <w:iCs/>
      <w:spacing w:val="5"/>
    </w:rPr>
  </w:style>
  <w:style w:type="paragraph" w:styleId="34">
    <w:name w:val="List Paragraph"/>
    <w:basedOn w:val="1"/>
    <w:semiHidden/>
    <w:unhideWhenUsed/>
    <w:qFormat/>
    <w:uiPriority w:val="99"/>
    <w:pPr>
      <w:ind w:left="720"/>
      <w:contextualSpacing/>
    </w:pPr>
  </w:style>
  <w:style w:type="character" w:customStyle="1" w:styleId="35">
    <w:name w:val="脚注文本 Char"/>
    <w:basedOn w:val="12"/>
    <w:link w:val="8"/>
    <w:semiHidden/>
    <w:qFormat/>
    <w:uiPriority w:val="99"/>
    <w:rPr>
      <w:kern w:val="2"/>
    </w:rPr>
  </w:style>
  <w:style w:type="character" w:customStyle="1" w:styleId="36">
    <w:name w:val="正文文本 Char"/>
    <w:basedOn w:val="12"/>
    <w:link w:val="3"/>
    <w:qFormat/>
    <w:uiPriority w:val="0"/>
    <w:rPr>
      <w:rFonts w:ascii="Times New Roman" w:hAnsi="Times New Roman" w:cs="Simplified Arabic"/>
      <w:sz w:val="24"/>
      <w:szCs w:val="24"/>
      <w:lang w:val="en-GB" w:eastAsia="en-GB" w:bidi="ar-AE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2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212</Words>
  <Characters>1212</Characters>
  <Lines>10</Lines>
  <Paragraphs>2</Paragraphs>
  <TotalTime>67</TotalTime>
  <ScaleCrop>false</ScaleCrop>
  <LinksUpToDate>false</LinksUpToDate>
  <CharactersWithSpaces>1422</CharactersWithSpaces>
  <Application>WPS Office_11.8.2.10125_F1E327BC-269C-435d-A152-05C5408002CA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2025-02-11T10:42:00Z</dcterms:created>
  <dc:creator>dell</dc:creator>
  <cp:lastModifiedBy>scjgj</cp:lastModifiedBy>
  <dcterms:modified xsi:type="dcterms:W3CDTF">2025-03-05T23:20:23Z</dcterms:modified>
  <dc:title>附件二、</dc:title>
  <cp:revision>40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2052-11.8.2.10125</vt:lpwstr>
  </property>
  <property fmtid="{D5CDD505-2E9C-101B-9397-08002B2CF9AE}" pid="3" name="DPWPathText">
    <vt:lpwstr>#97717177v5</vt:lpwstr>
  </property>
  <property fmtid="{D5CDD505-2E9C-101B-9397-08002B2CF9AE}" pid="4" name="NRT_DocNumber">
    <vt:lpwstr/>
  </property>
  <property fmtid="{D5CDD505-2E9C-101B-9397-08002B2CF9AE}" pid="5" name="NRT_DocVersion">
    <vt:lpwstr/>
  </property>
  <property fmtid="{D5CDD505-2E9C-101B-9397-08002B2CF9AE}" pid="6" name="NRT_DocName">
    <vt:lpwstr/>
  </property>
  <property fmtid="{D5CDD505-2E9C-101B-9397-08002B2CF9AE}" pid="7" name="NRT_AuthorDescription">
    <vt:lpwstr/>
  </property>
  <property fmtid="{D5CDD505-2E9C-101B-9397-08002B2CF9AE}" pid="8" name="NRT_Author">
    <vt:lpwstr/>
  </property>
  <property fmtid="{D5CDD505-2E9C-101B-9397-08002B2CF9AE}" pid="9" name="NRT_Operator">
    <vt:lpwstr/>
  </property>
  <property fmtid="{D5CDD505-2E9C-101B-9397-08002B2CF9AE}" pid="10" name="NRT_Database">
    <vt:lpwstr/>
  </property>
  <property fmtid="{D5CDD505-2E9C-101B-9397-08002B2CF9AE}" pid="11" name="NRT_ELITE_CLIENT">
    <vt:lpwstr/>
  </property>
  <property fmtid="{D5CDD505-2E9C-101B-9397-08002B2CF9AE}" pid="12" name="NRT_ELITE_MATTER">
    <vt:lpwstr/>
  </property>
  <property fmtid="{D5CDD505-2E9C-101B-9397-08002B2CF9AE}" pid="13" name="pDocRef">
    <vt:lpwstr/>
  </property>
  <property fmtid="{D5CDD505-2E9C-101B-9397-08002B2CF9AE}" pid="14" name="pDocNumber">
    <vt:lpwstr/>
  </property>
</Properties>
</file>