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5DF15">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方正小标宋简体" w:cs="Times New Roman"/>
          <w:bCs/>
          <w:kern w:val="0"/>
          <w:sz w:val="44"/>
          <w:szCs w:val="44"/>
          <w:lang w:val="en-GB" w:bidi="ar-AE"/>
        </w:rPr>
        <w:t>经营者集中简易案件公示表</w:t>
      </w:r>
    </w:p>
    <w:tbl>
      <w:tblPr>
        <w:tblStyle w:val="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7186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40" w:type="dxa"/>
            <w:shd w:val="clear" w:color="auto" w:fill="D9D9D9"/>
            <w:vAlign w:val="center"/>
          </w:tcPr>
          <w:p w14:paraId="4B7A5B9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en-GB" w:bidi="ar-SA"/>
              </w:rPr>
            </w:pPr>
            <w:r>
              <w:rPr>
                <w:rFonts w:hint="eastAsia" w:ascii="宋体" w:hAnsi="宋体" w:eastAsia="宋体" w:cs="宋体"/>
                <w:b/>
                <w:bCs w:val="0"/>
                <w:color w:val="000000"/>
                <w:kern w:val="0"/>
                <w:sz w:val="24"/>
                <w:szCs w:val="24"/>
                <w:lang w:val="en-GB" w:eastAsia="zh-CN" w:bidi="ar-SA"/>
              </w:rPr>
              <w:t>案件名称</w:t>
            </w:r>
          </w:p>
        </w:tc>
        <w:tc>
          <w:tcPr>
            <w:tcW w:w="7700" w:type="dxa"/>
            <w:gridSpan w:val="2"/>
            <w:vAlign w:val="center"/>
          </w:tcPr>
          <w:p w14:paraId="7AE7A69A">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GB" w:eastAsia="zh-CN" w:bidi="ar-SA"/>
              </w:rPr>
            </w:pPr>
            <w:r>
              <w:rPr>
                <w:rFonts w:hint="eastAsia" w:ascii="宋体" w:hAnsi="宋体" w:eastAsia="宋体" w:cs="宋体"/>
                <w:b w:val="0"/>
                <w:bCs/>
                <w:color w:val="000000"/>
                <w:kern w:val="0"/>
                <w:sz w:val="24"/>
                <w:szCs w:val="24"/>
                <w:lang w:val="en-US" w:eastAsia="zh-CN" w:bidi="ar-AE"/>
              </w:rPr>
              <w:t>华发物业服务有限公司与深圳融创物业服务集团有限公司新设合营企业案</w:t>
            </w:r>
          </w:p>
        </w:tc>
      </w:tr>
      <w:tr w14:paraId="0799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3C6A9A3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r>
              <w:rPr>
                <w:rFonts w:hint="eastAsia" w:ascii="宋体" w:hAnsi="宋体" w:eastAsia="宋体" w:cs="宋体"/>
                <w:b/>
                <w:bCs w:val="0"/>
                <w:color w:val="000000"/>
                <w:kern w:val="0"/>
                <w:sz w:val="24"/>
                <w:szCs w:val="24"/>
                <w:lang w:val="en-GB" w:eastAsia="zh-CN" w:bidi="ar-SA"/>
              </w:rPr>
              <w:t>交易概况（限200字内）</w:t>
            </w:r>
          </w:p>
        </w:tc>
        <w:tc>
          <w:tcPr>
            <w:tcW w:w="7700" w:type="dxa"/>
            <w:gridSpan w:val="2"/>
            <w:vAlign w:val="center"/>
          </w:tcPr>
          <w:p w14:paraId="52F42D6A">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GB" w:eastAsia="zh-CN" w:bidi="ar-SA"/>
              </w:rPr>
            </w:pPr>
            <w:r>
              <w:rPr>
                <w:rFonts w:hint="eastAsia" w:ascii="宋体" w:hAnsi="宋体" w:eastAsia="宋体" w:cs="宋体"/>
                <w:b w:val="0"/>
                <w:bCs/>
                <w:color w:val="000000"/>
                <w:kern w:val="0"/>
                <w:sz w:val="24"/>
                <w:szCs w:val="24"/>
                <w:lang w:val="en-GB" w:eastAsia="zh-CN" w:bidi="ar-AE"/>
              </w:rPr>
              <w:t>华发物业服务有限公司（“</w:t>
            </w:r>
            <w:r>
              <w:rPr>
                <w:rFonts w:hint="eastAsia" w:ascii="宋体" w:hAnsi="宋体" w:eastAsia="宋体" w:cs="宋体"/>
                <w:b w:val="0"/>
                <w:bCs/>
                <w:color w:val="000000"/>
                <w:kern w:val="0"/>
                <w:sz w:val="24"/>
                <w:szCs w:val="24"/>
                <w:lang w:val="en-US" w:eastAsia="zh-CN" w:bidi="ar-AE"/>
              </w:rPr>
              <w:t>华发物业</w:t>
            </w:r>
            <w:r>
              <w:rPr>
                <w:rFonts w:hint="eastAsia" w:ascii="宋体" w:hAnsi="宋体" w:eastAsia="宋体" w:cs="宋体"/>
                <w:b w:val="0"/>
                <w:bCs/>
                <w:color w:val="000000"/>
                <w:kern w:val="0"/>
                <w:sz w:val="24"/>
                <w:szCs w:val="24"/>
                <w:lang w:val="en-GB" w:eastAsia="zh-CN" w:bidi="ar-AE"/>
              </w:rPr>
              <w:t>”）与深圳融创物业服务集团有限公司（“</w:t>
            </w:r>
            <w:r>
              <w:rPr>
                <w:rFonts w:hint="eastAsia" w:ascii="宋体" w:hAnsi="宋体" w:eastAsia="宋体" w:cs="宋体"/>
                <w:b w:val="0"/>
                <w:bCs/>
                <w:color w:val="000000"/>
                <w:kern w:val="0"/>
                <w:sz w:val="24"/>
                <w:szCs w:val="24"/>
                <w:lang w:val="en-US" w:eastAsia="zh-CN" w:bidi="ar-AE"/>
              </w:rPr>
              <w:t>融创物业</w:t>
            </w:r>
            <w:r>
              <w:rPr>
                <w:rFonts w:hint="eastAsia" w:ascii="宋体" w:hAnsi="宋体" w:eastAsia="宋体" w:cs="宋体"/>
                <w:b w:val="0"/>
                <w:bCs/>
                <w:color w:val="000000"/>
                <w:kern w:val="0"/>
                <w:sz w:val="24"/>
                <w:szCs w:val="24"/>
                <w:lang w:val="en-GB" w:eastAsia="zh-CN" w:bidi="ar-AE"/>
              </w:rPr>
              <w:t>”）</w:t>
            </w:r>
            <w:r>
              <w:rPr>
                <w:rFonts w:hint="eastAsia" w:ascii="宋体" w:hAnsi="宋体" w:eastAsia="宋体" w:cs="宋体"/>
                <w:color w:val="auto"/>
                <w:kern w:val="0"/>
                <w:sz w:val="24"/>
                <w:szCs w:val="24"/>
                <w:lang w:eastAsia="zh-CN"/>
              </w:rPr>
              <w:t>签署合作协议，</w:t>
            </w:r>
            <w:r>
              <w:rPr>
                <w:rFonts w:hint="eastAsia" w:ascii="宋体" w:hAnsi="宋体" w:eastAsia="宋体" w:cs="宋体"/>
                <w:color w:val="auto"/>
                <w:kern w:val="0"/>
                <w:sz w:val="24"/>
                <w:szCs w:val="24"/>
                <w:lang w:val="en-US" w:eastAsia="zh-CN"/>
              </w:rPr>
              <w:t>拟在广东省深圳市设立一家合营企业。合营企业主要从事商业地产项目的物业服务业务。交易后，华发物业、融创物业将分别持有合营企业51%、49%股权，共同控制合营企业。</w:t>
            </w:r>
          </w:p>
        </w:tc>
      </w:tr>
      <w:tr w14:paraId="10CE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14:paraId="4125FF4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GB" w:eastAsia="zh-CN" w:bidi="ar-SA"/>
              </w:rPr>
            </w:pPr>
            <w:r>
              <w:rPr>
                <w:rFonts w:hint="eastAsia" w:ascii="宋体" w:hAnsi="宋体" w:eastAsia="宋体" w:cs="宋体"/>
                <w:b/>
                <w:bCs w:val="0"/>
                <w:color w:val="000000"/>
                <w:kern w:val="0"/>
                <w:sz w:val="24"/>
                <w:szCs w:val="24"/>
                <w:lang w:val="en-GB" w:eastAsia="zh-CN" w:bidi="ar-SA"/>
              </w:rPr>
              <w:t>参与集中的经营者简介（每个限</w:t>
            </w:r>
            <w:r>
              <w:rPr>
                <w:rFonts w:hint="default" w:ascii="宋体" w:hAnsi="宋体" w:eastAsia="宋体" w:cs="宋体"/>
                <w:b/>
                <w:bCs w:val="0"/>
                <w:color w:val="000000"/>
                <w:kern w:val="0"/>
                <w:sz w:val="24"/>
                <w:szCs w:val="24"/>
                <w:lang w:val="en-US" w:eastAsia="zh-CN" w:bidi="ar-SA"/>
              </w:rPr>
              <w:t>100</w:t>
            </w:r>
            <w:r>
              <w:rPr>
                <w:rFonts w:hint="eastAsia" w:ascii="宋体" w:hAnsi="宋体" w:eastAsia="宋体" w:cs="宋体"/>
                <w:b/>
                <w:bCs w:val="0"/>
                <w:color w:val="000000"/>
                <w:kern w:val="0"/>
                <w:sz w:val="24"/>
                <w:szCs w:val="24"/>
                <w:lang w:val="en-US" w:eastAsia="zh-CN" w:bidi="ar-SA"/>
              </w:rPr>
              <w:t>字以内</w:t>
            </w:r>
            <w:r>
              <w:rPr>
                <w:rFonts w:hint="eastAsia" w:ascii="宋体" w:hAnsi="宋体" w:eastAsia="宋体" w:cs="宋体"/>
                <w:b/>
                <w:bCs w:val="0"/>
                <w:color w:val="000000"/>
                <w:kern w:val="0"/>
                <w:sz w:val="24"/>
                <w:szCs w:val="24"/>
                <w:lang w:val="en-GB" w:eastAsia="zh-CN" w:bidi="ar-SA"/>
              </w:rPr>
              <w:t>）</w:t>
            </w:r>
          </w:p>
        </w:tc>
        <w:tc>
          <w:tcPr>
            <w:tcW w:w="1607" w:type="dxa"/>
            <w:vAlign w:val="center"/>
          </w:tcPr>
          <w:p w14:paraId="35D45319">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highlight w:val="none"/>
                <w:lang w:val="en-US" w:eastAsia="zh-CN" w:bidi="ar-AE"/>
              </w:rPr>
              <w:t>1.华发物业</w:t>
            </w:r>
          </w:p>
        </w:tc>
        <w:tc>
          <w:tcPr>
            <w:tcW w:w="6093" w:type="dxa"/>
            <w:vAlign w:val="center"/>
          </w:tcPr>
          <w:p w14:paraId="5566E2B6">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华发物业于1985年9月2日成立于广东省珠海市，主要业务为物业管理、市政设施管理、商业综合体管理服务、保安服务等。</w:t>
            </w:r>
          </w:p>
          <w:p w14:paraId="41A775F4">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left="0" w:leftChars="0" w:firstLine="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US" w:eastAsia="zh-CN" w:bidi="ar-AE"/>
              </w:rPr>
              <w:t>华发物业最终控制人为珠海华发集团有限公司，主要业务为城市运营、房产开发、金融产业、实业投资、商贸服务等。</w:t>
            </w:r>
          </w:p>
        </w:tc>
      </w:tr>
      <w:tr w14:paraId="3545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continue"/>
            <w:shd w:val="clear" w:color="auto" w:fill="D9D9D9"/>
            <w:vAlign w:val="center"/>
          </w:tcPr>
          <w:p w14:paraId="546B9D9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GB" w:eastAsia="zh-CN" w:bidi="ar-SA"/>
              </w:rPr>
            </w:pPr>
          </w:p>
        </w:tc>
        <w:tc>
          <w:tcPr>
            <w:tcW w:w="1607" w:type="dxa"/>
            <w:vAlign w:val="center"/>
          </w:tcPr>
          <w:p w14:paraId="446012DF">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highlight w:val="none"/>
                <w:lang w:val="en-US" w:eastAsia="zh-CN" w:bidi="ar-AE"/>
              </w:rPr>
              <w:t>2.融创物业</w:t>
            </w:r>
          </w:p>
        </w:tc>
        <w:tc>
          <w:tcPr>
            <w:tcW w:w="6093" w:type="dxa"/>
            <w:vAlign w:val="center"/>
          </w:tcPr>
          <w:p w14:paraId="1132CE26">
            <w:pPr>
              <w:widowControl/>
              <w:numPr>
                <w:ilvl w:val="0"/>
                <w:numId w:val="0"/>
              </w:numPr>
              <w:adjustRightInd w:val="0"/>
              <w:snapToGrid w:val="0"/>
              <w:spacing w:after="0"/>
              <w:jc w:val="both"/>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融创物业于2019年12月12日成立于广东省深圳市，主要业务为物业管理、自有房屋租赁、停车场管理服务等。</w:t>
            </w:r>
          </w:p>
          <w:p w14:paraId="7F8B92F9">
            <w:pPr>
              <w:widowControl/>
              <w:numPr>
                <w:ilvl w:val="0"/>
                <w:numId w:val="0"/>
              </w:numPr>
              <w:adjustRightInd w:val="0"/>
              <w:snapToGrid w:val="0"/>
              <w:spacing w:after="0"/>
              <w:jc w:val="both"/>
              <w:rPr>
                <w:rFonts w:hint="default" w:ascii="Times New Roman" w:hAnsi="Times New Roman" w:eastAsia="宋体" w:cs="Times New Roman"/>
                <w:kern w:val="2"/>
                <w:sz w:val="24"/>
                <w:szCs w:val="24"/>
                <w:lang w:val="en-GB" w:eastAsia="zh-CN" w:bidi="ar-SA"/>
              </w:rPr>
            </w:pPr>
            <w:r>
              <w:rPr>
                <w:rFonts w:hint="eastAsia" w:ascii="宋体" w:hAnsi="宋体" w:eastAsia="宋体" w:cs="宋体"/>
                <w:b w:val="0"/>
                <w:bCs/>
                <w:color w:val="000000"/>
                <w:kern w:val="0"/>
                <w:sz w:val="24"/>
                <w:szCs w:val="24"/>
                <w:lang w:val="en-US" w:eastAsia="zh-CN" w:bidi="ar-AE"/>
              </w:rPr>
              <w:t>融创物业最终控制人为自然人孙宏斌先生，主要业务为物业管理、房地产经纪、房地产咨询、企业管理咨询、酒店管理等。</w:t>
            </w:r>
          </w:p>
        </w:tc>
      </w:tr>
      <w:tr w14:paraId="7629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3ACC775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r>
              <w:rPr>
                <w:rFonts w:hint="eastAsia" w:ascii="宋体" w:hAnsi="宋体" w:eastAsia="宋体" w:cs="宋体"/>
                <w:b/>
                <w:bCs w:val="0"/>
                <w:color w:val="000000"/>
                <w:kern w:val="0"/>
                <w:sz w:val="24"/>
                <w:szCs w:val="24"/>
                <w:lang w:val="en-GB" w:eastAsia="zh-CN" w:bidi="ar-SA"/>
              </w:rPr>
              <w:t>简易案件理由（可以单选，也可以多选）</w:t>
            </w:r>
          </w:p>
        </w:tc>
        <w:tc>
          <w:tcPr>
            <w:tcW w:w="7700" w:type="dxa"/>
            <w:gridSpan w:val="2"/>
            <w:vAlign w:val="center"/>
          </w:tcPr>
          <w:p w14:paraId="09719741">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1</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在同一相关市场，参与集中的经营者所占的市场份额之和小于15%。</w:t>
            </w:r>
          </w:p>
        </w:tc>
      </w:tr>
      <w:tr w14:paraId="4171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7769AF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p>
        </w:tc>
        <w:tc>
          <w:tcPr>
            <w:tcW w:w="7700" w:type="dxa"/>
            <w:gridSpan w:val="2"/>
            <w:vAlign w:val="center"/>
          </w:tcPr>
          <w:p w14:paraId="73520C21">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2</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在上下游市场，参与集中的经营者所占的市场份额均小于25%。</w:t>
            </w:r>
          </w:p>
        </w:tc>
      </w:tr>
      <w:tr w14:paraId="5CE5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DC1E5A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p>
        </w:tc>
        <w:tc>
          <w:tcPr>
            <w:tcW w:w="7700" w:type="dxa"/>
            <w:gridSpan w:val="2"/>
            <w:vAlign w:val="center"/>
          </w:tcPr>
          <w:p w14:paraId="76B5E6F0">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GB" w:eastAsia="zh-CN" w:bidi="ar-AE"/>
              </w:rPr>
              <w:sym w:font="Wingdings" w:char="00FE"/>
            </w:r>
            <w:r>
              <w:rPr>
                <w:rFonts w:hint="eastAsia" w:ascii="宋体" w:hAnsi="宋体" w:eastAsia="宋体" w:cs="宋体"/>
                <w:b w:val="0"/>
                <w:bCs/>
                <w:color w:val="000000"/>
                <w:kern w:val="0"/>
                <w:sz w:val="24"/>
                <w:szCs w:val="24"/>
                <w:lang w:val="en-GB" w:eastAsia="zh-CN" w:bidi="ar-AE"/>
              </w:rPr>
              <w:t xml:space="preserve"> 3</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不在同一相关市场也不存在上下游关系的参与集中的经营者，在与交易有关的每个市场所占的市场份额均小于25%。</w:t>
            </w:r>
          </w:p>
        </w:tc>
      </w:tr>
      <w:tr w14:paraId="628E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1940" w:type="dxa"/>
            <w:vMerge w:val="continue"/>
            <w:shd w:val="clear" w:color="auto" w:fill="D9D9D9"/>
            <w:vAlign w:val="center"/>
          </w:tcPr>
          <w:p w14:paraId="20664FA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p>
        </w:tc>
        <w:tc>
          <w:tcPr>
            <w:tcW w:w="7700" w:type="dxa"/>
            <w:gridSpan w:val="2"/>
            <w:vAlign w:val="center"/>
          </w:tcPr>
          <w:p w14:paraId="070617BE">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4</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参与集中的经营者在中国境外设立合营企业，合营企业不在中国境内从事经济活动。</w:t>
            </w:r>
          </w:p>
        </w:tc>
      </w:tr>
      <w:tr w14:paraId="49B3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490EF42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p>
        </w:tc>
        <w:tc>
          <w:tcPr>
            <w:tcW w:w="7700" w:type="dxa"/>
            <w:gridSpan w:val="2"/>
            <w:vAlign w:val="center"/>
          </w:tcPr>
          <w:p w14:paraId="387553D0">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5</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参与集中的经营者收购境外企业股权或资产的，该境外企业不在中国境内从事经济活动。</w:t>
            </w:r>
          </w:p>
        </w:tc>
      </w:tr>
      <w:tr w14:paraId="0D4F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E3912D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p>
        </w:tc>
        <w:tc>
          <w:tcPr>
            <w:tcW w:w="7700" w:type="dxa"/>
            <w:gridSpan w:val="2"/>
            <w:vAlign w:val="center"/>
          </w:tcPr>
          <w:p w14:paraId="0CA5C5CA">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6</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由两个以上的经营者共同控制的合营企业，通过集中被其中一个或一个以上经营者控制。</w:t>
            </w:r>
          </w:p>
        </w:tc>
      </w:tr>
      <w:tr w14:paraId="6A0CE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1940" w:type="dxa"/>
            <w:shd w:val="clear" w:color="auto" w:fill="D9D9D9"/>
            <w:vAlign w:val="center"/>
          </w:tcPr>
          <w:p w14:paraId="6966391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ascii="Times New Roman" w:hAnsi="Times New Roman" w:eastAsia="宋体" w:cs="Times New Roman"/>
                <w:b/>
                <w:bCs w:val="0"/>
                <w:color w:val="000000"/>
                <w:kern w:val="2"/>
                <w:sz w:val="24"/>
                <w:szCs w:val="24"/>
                <w:lang w:val="en-US" w:eastAsia="zh-CN" w:bidi="ar-SA"/>
              </w:rPr>
            </w:pPr>
            <w:r>
              <w:rPr>
                <w:rFonts w:hint="eastAsia" w:ascii="宋体" w:hAnsi="宋体" w:eastAsia="宋体" w:cs="宋体"/>
                <w:b/>
                <w:bCs w:val="0"/>
                <w:color w:val="000000"/>
                <w:kern w:val="0"/>
                <w:sz w:val="24"/>
                <w:szCs w:val="24"/>
                <w:lang w:val="en-US" w:eastAsia="zh-CN" w:bidi="ar-SA"/>
              </w:rPr>
              <w:t>备注</w:t>
            </w:r>
          </w:p>
        </w:tc>
        <w:tc>
          <w:tcPr>
            <w:tcW w:w="7700" w:type="dxa"/>
            <w:gridSpan w:val="2"/>
            <w:vAlign w:val="center"/>
          </w:tcPr>
          <w:p w14:paraId="2AAEC90E">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bCs w:val="0"/>
                <w:color w:val="000000"/>
                <w:kern w:val="0"/>
                <w:sz w:val="24"/>
                <w:szCs w:val="24"/>
                <w:lang w:val="en-GB" w:eastAsia="zh-CN" w:bidi="ar-AE"/>
              </w:rPr>
            </w:pPr>
            <w:r>
              <w:rPr>
                <w:rFonts w:hint="eastAsia" w:ascii="宋体" w:hAnsi="宋体" w:eastAsia="宋体" w:cs="宋体"/>
                <w:b/>
                <w:bCs w:val="0"/>
                <w:color w:val="000000"/>
                <w:kern w:val="0"/>
                <w:sz w:val="24"/>
                <w:szCs w:val="24"/>
                <w:lang w:val="en-US" w:eastAsia="zh-CN" w:bidi="ar-AE"/>
              </w:rPr>
              <w:t>混合集中</w:t>
            </w:r>
            <w:r>
              <w:rPr>
                <w:rFonts w:hint="eastAsia" w:ascii="宋体" w:hAnsi="宋体" w:eastAsia="宋体" w:cs="宋体"/>
                <w:b/>
                <w:bCs w:val="0"/>
                <w:color w:val="000000"/>
                <w:kern w:val="0"/>
                <w:sz w:val="24"/>
                <w:szCs w:val="24"/>
                <w:lang w:val="en-GB" w:eastAsia="zh-CN" w:bidi="ar-AE"/>
              </w:rPr>
              <w:t>：</w:t>
            </w:r>
          </w:p>
          <w:p w14:paraId="28C40BC5">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宋体" w:hAnsi="宋体" w:eastAsia="宋体" w:cs="宋体"/>
                <w:b w:val="0"/>
                <w:bCs/>
                <w:color w:val="auto"/>
                <w:kern w:val="0"/>
                <w:sz w:val="24"/>
                <w:szCs w:val="24"/>
                <w:lang w:val="en-US" w:eastAsia="zh-CN" w:bidi="ar-AE"/>
              </w:rPr>
            </w:pPr>
            <w:r>
              <w:rPr>
                <w:rFonts w:hint="eastAsia" w:ascii="宋体" w:hAnsi="宋体" w:eastAsia="宋体" w:cs="宋体"/>
                <w:b w:val="0"/>
                <w:bCs/>
                <w:color w:val="auto"/>
                <w:kern w:val="0"/>
                <w:sz w:val="24"/>
                <w:szCs w:val="24"/>
                <w:lang w:val="en-US" w:eastAsia="zh-CN" w:bidi="ar-AE"/>
              </w:rPr>
              <w:t>2025年深圳市</w:t>
            </w:r>
            <w:r>
              <w:rPr>
                <w:rFonts w:hint="eastAsia" w:ascii="Times New Roman" w:hAnsi="Times New Roman" w:eastAsia="宋体" w:cs="Times New Roman"/>
                <w:b w:val="0"/>
                <w:bCs/>
                <w:color w:val="auto"/>
                <w:kern w:val="0"/>
                <w:sz w:val="24"/>
                <w:szCs w:val="24"/>
                <w:lang w:val="en-US" w:eastAsia="zh-CN" w:bidi="ar-AE"/>
              </w:rPr>
              <w:t>商业物业管理服务市场：</w:t>
            </w:r>
          </w:p>
          <w:p w14:paraId="630BBD65">
            <w:pPr>
              <w:keepNext w:val="0"/>
              <w:keepLines w:val="0"/>
              <w:pageBreakBefore w:val="0"/>
              <w:widowControl/>
              <w:kinsoku/>
              <w:wordWrap/>
              <w:overflowPunct/>
              <w:topLinePunct w:val="0"/>
              <w:autoSpaceDE/>
              <w:autoSpaceDN/>
              <w:bidi w:val="0"/>
              <w:adjustRightInd w:val="0"/>
              <w:snapToGrid w:val="0"/>
              <w:spacing w:after="0" w:line="240" w:lineRule="auto"/>
              <w:jc w:val="left"/>
              <w:textAlignment w:val="auto"/>
              <w:rPr>
                <w:rFonts w:hint="default" w:ascii="Times New Roman" w:hAnsi="Times New Roman" w:eastAsia="宋体" w:cs="Times New Roman"/>
                <w:kern w:val="2"/>
                <w:sz w:val="24"/>
                <w:szCs w:val="24"/>
                <w:lang w:val="en-GB" w:eastAsia="zh-CN" w:bidi="ar-SA"/>
              </w:rPr>
            </w:pPr>
            <w:r>
              <w:rPr>
                <w:rFonts w:hint="eastAsia" w:ascii="Times New Roman" w:hAnsi="Times New Roman" w:eastAsia="宋体" w:cs="Times New Roman"/>
                <w:b w:val="0"/>
                <w:bCs/>
                <w:color w:val="000000"/>
                <w:kern w:val="0"/>
                <w:sz w:val="24"/>
                <w:szCs w:val="24"/>
                <w:lang w:val="en-US" w:eastAsia="zh-CN" w:bidi="ar-AE"/>
              </w:rPr>
              <w:t>合营企业：0-5%</w:t>
            </w:r>
          </w:p>
        </w:tc>
      </w:tr>
    </w:tbl>
    <w:p w14:paraId="03DDF50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D571D"/>
    <w:rsid w:val="5BCD5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2025-03-14T06:45:00Z</dcterms:created>
  <dc:creator>汗青</dc:creator>
  <cp:lastModifiedBy>汗青</cp:lastModifiedBy>
  <dcterms:modified xsi:type="dcterms:W3CDTF">2025-03-14T06:45:44Z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2FF258DD603D4C5382DAD03EBD306BAE_11</vt:lpwstr>
  </property>
  <property fmtid="{D5CDD505-2E9C-101B-9397-08002B2CF9AE}" pid="4" name="KSOTemplateDocerSaveRecord">
    <vt:lpwstr>eyJoZGlkIjoiNDQzMGY5ZWI0OWM3ZDY2ZDVhMWJmNzNkNjA0OTkyOWYiLCJ1c2VySWQiOiIzNzgxNDI0MDcifQ==</vt:lpwstr>
  </property>
</Properties>
</file>