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241D50" w14:textId="77777777" w:rsidR="0034412A" w:rsidRPr="00EA3282" w:rsidRDefault="0034412A" w:rsidP="0034412A">
      <w:pPr>
        <w:spacing w:line="440" w:lineRule="exact"/>
        <w:jc w:val="center"/>
        <w:rPr>
          <w:rFonts w:ascii="Times New Roman" w:eastAsia="黑体" w:hAnsi="Times New Roman"/>
          <w:sz w:val="36"/>
          <w:szCs w:val="36"/>
        </w:rPr>
      </w:pPr>
      <w:r w:rsidRPr="00EA3282">
        <w:rPr>
          <w:rFonts w:ascii="Times New Roman" w:eastAsia="黑体" w:hAnsi="Times New Roman"/>
          <w:sz w:val="36"/>
          <w:szCs w:val="36"/>
        </w:rPr>
        <w:t>经营者集中简易案件公示表</w:t>
      </w:r>
    </w:p>
    <w:p w14:paraId="63C8E317" w14:textId="77777777" w:rsidR="000C5DCE" w:rsidRPr="00EA3282" w:rsidRDefault="000C5DCE" w:rsidP="000C5DCE">
      <w:pPr>
        <w:spacing w:line="440" w:lineRule="exact"/>
        <w:jc w:val="center"/>
        <w:rPr>
          <w:rFonts w:ascii="Times New Roman" w:eastAsia="仿宋" w:hAnsi="Times New Roman"/>
          <w:sz w:val="24"/>
          <w:szCs w:val="24"/>
        </w:rPr>
      </w:pP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0C5DCE" w:rsidRPr="00EA3282" w14:paraId="7A3A68D5" w14:textId="77777777" w:rsidTr="00D237E2">
        <w:trPr>
          <w:trHeight w:val="519"/>
        </w:trPr>
        <w:tc>
          <w:tcPr>
            <w:tcW w:w="1940" w:type="dxa"/>
            <w:shd w:val="clear" w:color="auto" w:fill="D9D9D9"/>
            <w:vAlign w:val="center"/>
          </w:tcPr>
          <w:p w14:paraId="2CBCC4C5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/>
              </w:rPr>
            </w:pPr>
            <w:proofErr w:type="spellStart"/>
            <w:r w:rsidRPr="00EA3282">
              <w:rPr>
                <w:rFonts w:eastAsiaTheme="minorEastAsia"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60D5841E" w14:textId="6103EE76" w:rsidR="000C5DCE" w:rsidRPr="00EA3282" w:rsidRDefault="005C019A" w:rsidP="00D237E2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埃耐特科技公司</w:t>
            </w:r>
            <w:proofErr w:type="gramStart"/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收购蒂升电梯</w:t>
            </w:r>
            <w:proofErr w:type="gramEnd"/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沙特阿拉伯有限公司股权案</w:t>
            </w:r>
          </w:p>
        </w:tc>
      </w:tr>
      <w:tr w:rsidR="000C5DCE" w:rsidRPr="00EA3282" w14:paraId="35D7BF33" w14:textId="77777777" w:rsidTr="00D237E2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DD4AFD6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交易概况（限</w:t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200</w:t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077F45EE" w14:textId="6EE01329" w:rsidR="005C019A" w:rsidRPr="00EA3282" w:rsidRDefault="005C019A" w:rsidP="00D237E2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本次交易主要涉及埃耐特科技公司（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“</w:t>
            </w:r>
            <w:r w:rsidRPr="00EA3282">
              <w:rPr>
                <w:rFonts w:ascii="Times New Roman" w:eastAsiaTheme="minorEastAsia" w:hAnsi="Times New Roman"/>
                <w:b/>
                <w:bCs/>
                <w:sz w:val="24"/>
                <w:szCs w:val="24"/>
              </w:rPr>
              <w:t>埃耐特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”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）收购由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TK Elevator Topco GmbH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（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“</w:t>
            </w:r>
            <w:r w:rsidRPr="00EA3282">
              <w:rPr>
                <w:rFonts w:ascii="Times New Roman" w:eastAsiaTheme="minorEastAsia" w:hAnsi="Times New Roman"/>
                <w:b/>
                <w:bCs/>
                <w:sz w:val="24"/>
                <w:szCs w:val="24"/>
              </w:rPr>
              <w:t>TKE Topco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”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，连同其</w:t>
            </w:r>
            <w:r w:rsidR="00877D76">
              <w:rPr>
                <w:rFonts w:ascii="Times New Roman" w:eastAsiaTheme="minorEastAsia" w:hAnsi="Times New Roman" w:hint="eastAsia"/>
                <w:sz w:val="24"/>
                <w:szCs w:val="24"/>
              </w:rPr>
              <w:t>子公司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合称为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“</w:t>
            </w:r>
            <w:r w:rsidRPr="00EA3282">
              <w:rPr>
                <w:rFonts w:ascii="Times New Roman" w:eastAsiaTheme="minorEastAsia" w:hAnsi="Times New Roman"/>
                <w:b/>
                <w:bCs/>
                <w:sz w:val="24"/>
                <w:szCs w:val="24"/>
              </w:rPr>
              <w:t>蒂升集团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”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）间接控制的蒂升电梯沙特阿拉伯有限公司（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“</w:t>
            </w:r>
            <w:r w:rsidRPr="00EA3282">
              <w:rPr>
                <w:rFonts w:ascii="Times New Roman" w:eastAsiaTheme="minorEastAsia" w:hAnsi="Times New Roman"/>
                <w:b/>
                <w:bCs/>
                <w:sz w:val="24"/>
                <w:szCs w:val="24"/>
              </w:rPr>
              <w:t>蒂升沙特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”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）的股权。</w:t>
            </w:r>
          </w:p>
          <w:p w14:paraId="7E3515EF" w14:textId="77777777" w:rsidR="005C019A" w:rsidRPr="00EA3282" w:rsidRDefault="005C019A" w:rsidP="00D237E2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14:paraId="55D5A868" w14:textId="6F1E045C" w:rsidR="005C019A" w:rsidRPr="00EA3282" w:rsidRDefault="005C019A" w:rsidP="00AC4F2D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具体而言，埃耐特与蒂升集团将</w:t>
            </w:r>
            <w:r w:rsidR="00E27019">
              <w:rPr>
                <w:rFonts w:ascii="Times New Roman" w:eastAsiaTheme="minorEastAsia" w:hAnsi="Times New Roman" w:hint="eastAsia"/>
                <w:sz w:val="24"/>
                <w:szCs w:val="24"/>
              </w:rPr>
              <w:t>设立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一家</w:t>
            </w:r>
            <w:r w:rsidR="00D37E13" w:rsidRPr="00D37E13">
              <w:rPr>
                <w:rFonts w:ascii="Times New Roman" w:eastAsiaTheme="minorEastAsia" w:hAnsi="Times New Roman" w:hint="eastAsia"/>
                <w:sz w:val="24"/>
                <w:szCs w:val="24"/>
              </w:rPr>
              <w:t>全功能</w:t>
            </w:r>
            <w:r w:rsidR="00D37E13">
              <w:rPr>
                <w:rFonts w:ascii="Times New Roman" w:eastAsiaTheme="minorEastAsia" w:hAnsi="Times New Roman" w:hint="eastAsia"/>
                <w:sz w:val="24"/>
                <w:szCs w:val="24"/>
              </w:rPr>
              <w:t>的棕地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合营企业（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“</w:t>
            </w:r>
            <w:r w:rsidRPr="008E0767">
              <w:rPr>
                <w:rFonts w:ascii="Times New Roman" w:eastAsiaTheme="minorEastAsia" w:hAnsi="Times New Roman"/>
                <w:b/>
                <w:bCs/>
                <w:sz w:val="24"/>
                <w:szCs w:val="24"/>
              </w:rPr>
              <w:t>KSA</w:t>
            </w:r>
            <w:r w:rsidRPr="008E0767">
              <w:rPr>
                <w:rFonts w:ascii="Times New Roman" w:eastAsiaTheme="minorEastAsia" w:hAnsi="Times New Roman"/>
                <w:b/>
                <w:bCs/>
                <w:sz w:val="24"/>
                <w:szCs w:val="24"/>
              </w:rPr>
              <w:t>合营企业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”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），</w:t>
            </w:r>
            <w:r w:rsidR="008E0767" w:rsidRPr="00EA3282">
              <w:rPr>
                <w:rFonts w:ascii="Times New Roman" w:eastAsiaTheme="minorEastAsia" w:hAnsi="Times New Roman"/>
                <w:sz w:val="24"/>
                <w:szCs w:val="24"/>
              </w:rPr>
              <w:t>埃耐特与蒂升集团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将分别持有</w:t>
            </w:r>
            <w:r w:rsidR="00E27019">
              <w:rPr>
                <w:rFonts w:ascii="Times New Roman" w:eastAsiaTheme="minorEastAsia" w:hAnsi="Times New Roman" w:hint="eastAsia"/>
                <w:sz w:val="24"/>
                <w:szCs w:val="24"/>
              </w:rPr>
              <w:t>其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49%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和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51%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的股权。在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KSA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合营企业设立以后，蒂升集团将把其在蒂升沙特的全部股权转让给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KSA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合营企业。因此，埃耐特将间接持有蒂升沙特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49%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的股权，而蒂升集团将保留蒂升沙特剩余的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51%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股权。此外，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KSA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合营企业预计</w:t>
            </w:r>
            <w:r w:rsidR="00E15D21">
              <w:rPr>
                <w:rFonts w:ascii="Times New Roman" w:eastAsiaTheme="minorEastAsia" w:hAnsi="Times New Roman" w:hint="eastAsia"/>
                <w:sz w:val="24"/>
                <w:szCs w:val="24"/>
              </w:rPr>
              <w:t>将于不久后</w:t>
            </w:r>
            <w:r w:rsidR="00605CB0" w:rsidRPr="00605CB0">
              <w:rPr>
                <w:rFonts w:ascii="Times New Roman" w:eastAsiaTheme="minorEastAsia" w:hAnsi="Times New Roman" w:hint="eastAsia"/>
                <w:sz w:val="24"/>
                <w:szCs w:val="24"/>
              </w:rPr>
              <w:t>再新设一家全资子公司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，负责</w:t>
            </w:r>
            <w:r w:rsidR="00605CB0" w:rsidRPr="00EA3282">
              <w:rPr>
                <w:rFonts w:ascii="Times New Roman" w:eastAsiaTheme="minorEastAsia" w:hAnsi="Times New Roman"/>
                <w:sz w:val="24"/>
                <w:szCs w:val="24"/>
              </w:rPr>
              <w:t>生产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相关</w:t>
            </w:r>
            <w:r w:rsidR="00605CB0">
              <w:rPr>
                <w:rFonts w:ascii="Times New Roman" w:eastAsiaTheme="minorEastAsia" w:hAnsi="Times New Roman"/>
                <w:sz w:val="24"/>
                <w:szCs w:val="24"/>
              </w:rPr>
              <w:t>的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业务。蒂升沙特主要在沙特阿拉伯从事电梯和自动扶梯业务。</w:t>
            </w:r>
          </w:p>
          <w:p w14:paraId="2A1479E5" w14:textId="77777777" w:rsidR="005C019A" w:rsidRPr="00EA3282" w:rsidRDefault="005C019A" w:rsidP="00D237E2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14:paraId="536A7357" w14:textId="72016830" w:rsidR="000C5DCE" w:rsidRPr="00EA3282" w:rsidRDefault="005C019A" w:rsidP="00D237E2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在本次交易之前，蒂升沙特</w:t>
            </w:r>
            <w:r w:rsidR="00BB47A3">
              <w:rPr>
                <w:rFonts w:ascii="Times New Roman" w:eastAsiaTheme="minorEastAsia" w:hAnsi="Times New Roman" w:hint="eastAsia"/>
                <w:sz w:val="24"/>
                <w:szCs w:val="24"/>
              </w:rPr>
              <w:t>由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蒂升集团</w:t>
            </w:r>
            <w:r w:rsidR="00BB47A3">
              <w:rPr>
                <w:rFonts w:ascii="Times New Roman" w:eastAsiaTheme="minorEastAsia" w:hAnsi="Times New Roman" w:hint="eastAsia"/>
                <w:sz w:val="24"/>
                <w:szCs w:val="24"/>
              </w:rPr>
              <w:t>单独控制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。在本次交易完成后，蒂升沙特将由埃耐特和蒂升集团共同控制。</w:t>
            </w:r>
          </w:p>
        </w:tc>
      </w:tr>
      <w:tr w:rsidR="000C5DCE" w:rsidRPr="00EA3282" w14:paraId="3952DDA1" w14:textId="77777777" w:rsidTr="00D237E2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0CEE544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参与集中的经营者简介（每个限</w:t>
            </w:r>
            <w:r w:rsidRPr="00EA3282">
              <w:rPr>
                <w:rFonts w:eastAsiaTheme="minorEastAsia" w:cs="Times New Roman"/>
                <w:bCs/>
                <w:color w:val="000000"/>
                <w:lang w:val="en-US" w:eastAsia="zh-CN"/>
              </w:rPr>
              <w:t>100</w:t>
            </w:r>
            <w:r w:rsidRPr="00EA3282">
              <w:rPr>
                <w:rFonts w:eastAsiaTheme="minorEastAsia" w:cs="Times New Roman"/>
                <w:bCs/>
                <w:color w:val="000000"/>
                <w:lang w:val="en-US" w:eastAsia="zh-CN"/>
              </w:rPr>
              <w:t>字以内</w:t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</w:tcPr>
          <w:p w14:paraId="0C3E1E19" w14:textId="25F4E0A8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jc w:val="left"/>
              <w:rPr>
                <w:rFonts w:eastAsiaTheme="minorEastAsia" w:cs="Times New Roman"/>
                <w:bCs/>
                <w:kern w:val="2"/>
                <w:lang w:bidi="ar-SA"/>
              </w:rPr>
            </w:pPr>
            <w:r w:rsidRPr="00EA3282">
              <w:rPr>
                <w:rFonts w:eastAsiaTheme="minorEastAsia" w:cs="Times New Roman"/>
                <w:kern w:val="2"/>
                <w:lang w:bidi="ar-SA"/>
              </w:rPr>
              <w:t>1.</w:t>
            </w:r>
            <w:r w:rsidR="005C019A" w:rsidRPr="00EA3282">
              <w:rPr>
                <w:rFonts w:eastAsiaTheme="minorEastAsia" w:cs="Times New Roman"/>
                <w:kern w:val="2"/>
                <w:lang w:eastAsia="zh-CN" w:bidi="ar-SA"/>
              </w:rPr>
              <w:t>埃耐特</w:t>
            </w:r>
          </w:p>
        </w:tc>
        <w:tc>
          <w:tcPr>
            <w:tcW w:w="6093" w:type="dxa"/>
          </w:tcPr>
          <w:p w14:paraId="20E6B88E" w14:textId="77777777" w:rsidR="000C5DCE" w:rsidRPr="00EA3282" w:rsidRDefault="005C019A" w:rsidP="0014416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埃耐特于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2022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年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8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月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18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日在沙特阿拉伯成立。埃耐特主要从事半导体、智能设备、智能建筑、智能家电、智能健康产品、先进工业品、下一代基础设施、电气化和人工智能基础设施的生产与制造。</w:t>
            </w:r>
          </w:p>
          <w:p w14:paraId="78E38DBA" w14:textId="77777777" w:rsidR="005C019A" w:rsidRPr="00EA3282" w:rsidRDefault="005C019A" w:rsidP="0014416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14:paraId="3E435CFB" w14:textId="3F8D1534" w:rsidR="005C019A" w:rsidRPr="00EA3282" w:rsidRDefault="005C019A" w:rsidP="0014416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埃耐特的最终控制人为沙特公共投资基金。沙特公共投资基金是沙特阿拉伯的主权财富基金，在沙特阿拉伯及全球多个行业均有直接或间接投资，涵盖食品与农业、能源、金融服务、制造业、房地产、物流及数字经济等。</w:t>
            </w:r>
          </w:p>
        </w:tc>
      </w:tr>
      <w:tr w:rsidR="000C5DCE" w:rsidRPr="00EA3282" w14:paraId="39A808B6" w14:textId="77777777" w:rsidTr="00D237E2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B0D382A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</w:tcPr>
          <w:p w14:paraId="05307276" w14:textId="629EEBBC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eastAsia="zh-CN"/>
              </w:rPr>
            </w:pPr>
            <w:r w:rsidRPr="00EA3282">
              <w:rPr>
                <w:rFonts w:eastAsiaTheme="minorEastAsia" w:cs="Times New Roman"/>
                <w:kern w:val="2"/>
                <w:lang w:bidi="ar-SA"/>
              </w:rPr>
              <w:t>2.</w:t>
            </w:r>
            <w:r w:rsidR="00BB47A3" w:rsidRPr="00EA3282">
              <w:rPr>
                <w:rFonts w:eastAsiaTheme="minorEastAsia" w:cs="Times New Roman"/>
              </w:rPr>
              <w:t xml:space="preserve"> TKE Topco</w:t>
            </w:r>
          </w:p>
        </w:tc>
        <w:tc>
          <w:tcPr>
            <w:tcW w:w="6093" w:type="dxa"/>
          </w:tcPr>
          <w:p w14:paraId="32B59385" w14:textId="5FADE44A" w:rsidR="00EA3282" w:rsidRPr="00EA3282" w:rsidRDefault="00EA3282" w:rsidP="00D237E2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TKE Topco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于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2020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年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月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14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日在</w:t>
            </w:r>
            <w:r w:rsidR="00605CB0">
              <w:rPr>
                <w:rFonts w:ascii="Times New Roman" w:eastAsiaTheme="minorEastAsia" w:hAnsi="Times New Roman" w:hint="eastAsia"/>
                <w:sz w:val="24"/>
                <w:szCs w:val="24"/>
              </w:rPr>
              <w:t>德国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成立。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 xml:space="preserve">TKE Topco 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是蒂升集团的控股公司，蒂升集团在全球范围内</w:t>
            </w:r>
            <w:r w:rsidR="00877D76">
              <w:rPr>
                <w:rFonts w:ascii="Times New Roman" w:eastAsiaTheme="minorEastAsia" w:hAnsi="Times New Roman" w:hint="eastAsia"/>
                <w:sz w:val="24"/>
                <w:szCs w:val="24"/>
              </w:rPr>
              <w:t>（超过</w:t>
            </w:r>
            <w:r w:rsidR="00877D76">
              <w:rPr>
                <w:rFonts w:ascii="Times New Roman" w:eastAsiaTheme="minorEastAsia" w:hAnsi="Times New Roman" w:hint="eastAsia"/>
                <w:sz w:val="24"/>
                <w:szCs w:val="24"/>
              </w:rPr>
              <w:t>60</w:t>
            </w:r>
            <w:r w:rsidR="00877D76">
              <w:rPr>
                <w:rFonts w:ascii="Times New Roman" w:eastAsiaTheme="minorEastAsia" w:hAnsi="Times New Roman" w:hint="eastAsia"/>
                <w:sz w:val="24"/>
                <w:szCs w:val="24"/>
              </w:rPr>
              <w:t>个国家）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从事垂直电梯、自动扶梯、自动人行道、登机桥和楼梯升降椅的安装</w:t>
            </w:r>
            <w:r w:rsidR="00877D76">
              <w:rPr>
                <w:rFonts w:ascii="Times New Roman" w:eastAsiaTheme="minorEastAsia" w:hAnsi="Times New Roman" w:hint="eastAsia"/>
                <w:sz w:val="24"/>
                <w:szCs w:val="24"/>
              </w:rPr>
              <w:t>、现代化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和维护以及相关的配套</w:t>
            </w:r>
            <w:r w:rsidR="00877D76">
              <w:rPr>
                <w:rFonts w:ascii="Times New Roman" w:eastAsiaTheme="minorEastAsia" w:hAnsi="Times New Roman" w:hint="eastAsia"/>
                <w:sz w:val="24"/>
                <w:szCs w:val="24"/>
              </w:rPr>
              <w:t>产品和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业务。</w:t>
            </w:r>
          </w:p>
          <w:p w14:paraId="5C617E9E" w14:textId="77777777" w:rsidR="00EA3282" w:rsidRPr="00EA3282" w:rsidRDefault="00EA3282" w:rsidP="00D237E2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14:paraId="452E8D7E" w14:textId="6D9A293E" w:rsidR="00995F84" w:rsidRDefault="00EA3282" w:rsidP="00605CB0">
            <w:pPr>
              <w:rPr>
                <w:rFonts w:ascii="Times New Roman" w:hAnsi="Times New Roman"/>
                <w:sz w:val="24"/>
                <w:szCs w:val="24"/>
              </w:rPr>
            </w:pP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TKE Topco</w:t>
            </w:r>
            <w:r w:rsidRPr="00EA3282">
              <w:rPr>
                <w:rFonts w:ascii="Times New Roman" w:eastAsiaTheme="minorEastAsia" w:hAnsi="Times New Roman"/>
                <w:sz w:val="24"/>
                <w:szCs w:val="24"/>
              </w:rPr>
              <w:t>的最终控制</w:t>
            </w:r>
            <w:r w:rsidR="0076693D">
              <w:rPr>
                <w:rFonts w:ascii="Times New Roman" w:eastAsiaTheme="minorEastAsia" w:hAnsi="Times New Roman" w:hint="eastAsia"/>
                <w:sz w:val="24"/>
                <w:szCs w:val="24"/>
              </w:rPr>
              <w:t>人</w:t>
            </w:r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为</w:t>
            </w:r>
            <w:r w:rsidRPr="0076693D">
              <w:rPr>
                <w:rFonts w:ascii="Times New Roman" w:eastAsia="仿宋_GB2312" w:hAnsi="Times New Roman"/>
                <w:sz w:val="24"/>
                <w:szCs w:val="24"/>
                <w:lang w:val="en-GB"/>
              </w:rPr>
              <w:t>AIC Parent, Inc.</w:t>
            </w:r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和</w:t>
            </w:r>
            <w:r w:rsidR="00605CB0" w:rsidRPr="00605CB0">
              <w:rPr>
                <w:rFonts w:ascii="Times New Roman" w:eastAsiaTheme="minorEastAsia" w:hAnsi="Times New Roman" w:hint="eastAsia"/>
                <w:sz w:val="24"/>
                <w:szCs w:val="24"/>
              </w:rPr>
              <w:t>盛峰资本管理第七普通合伙有限公司</w:t>
            </w:r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（</w:t>
            </w:r>
            <w:r w:rsidR="00605CB0" w:rsidRPr="0076693D">
              <w:rPr>
                <w:rFonts w:ascii="Times New Roman" w:eastAsiaTheme="minorEastAsia" w:hAnsi="Times New Roman"/>
                <w:sz w:val="24"/>
                <w:szCs w:val="24"/>
              </w:rPr>
              <w:t xml:space="preserve">Cinven Capital Management (VII) General </w:t>
            </w:r>
            <w:r w:rsidR="00605CB0" w:rsidRPr="002D2786">
              <w:rPr>
                <w:rFonts w:ascii="Times New Roman" w:hAnsi="Times New Roman"/>
                <w:sz w:val="24"/>
                <w:szCs w:val="24"/>
              </w:rPr>
              <w:t>Partner Limited</w:t>
            </w:r>
            <w:r w:rsidR="003B31FD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“</w:t>
            </w:r>
            <w:proofErr w:type="spellStart"/>
            <w:r w:rsidRPr="002D2786">
              <w:rPr>
                <w:rFonts w:ascii="Times New Roman" w:hAnsi="Times New Roman"/>
                <w:b/>
                <w:bCs/>
                <w:sz w:val="24"/>
                <w:szCs w:val="24"/>
              </w:rPr>
              <w:t>Cinven</w:t>
            </w:r>
            <w:proofErr w:type="spellEnd"/>
            <w:r w:rsidRPr="002D278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VII </w:t>
            </w:r>
            <w:proofErr w:type="spellStart"/>
            <w:r w:rsidRPr="002D2786">
              <w:rPr>
                <w:rFonts w:ascii="Times New Roman" w:hAnsi="Times New Roman"/>
                <w:b/>
                <w:bCs/>
                <w:sz w:val="24"/>
                <w:szCs w:val="24"/>
              </w:rPr>
              <w:t>GPCo</w:t>
            </w:r>
            <w:proofErr w:type="spellEnd"/>
            <w:r w:rsidRPr="002D2786">
              <w:rPr>
                <w:rFonts w:asciiTheme="minorEastAsia" w:eastAsiaTheme="minorEastAsia" w:hAnsiTheme="minorEastAsia"/>
                <w:sz w:val="24"/>
                <w:szCs w:val="24"/>
              </w:rPr>
              <w:t>”</w:t>
            </w:r>
            <w:r w:rsidRPr="002D2786">
              <w:rPr>
                <w:rFonts w:ascii="Times New Roman" w:hAnsi="Times New Roman" w:hint="eastAsia"/>
                <w:sz w:val="24"/>
                <w:szCs w:val="24"/>
              </w:rPr>
              <w:t>）。</w:t>
            </w:r>
          </w:p>
          <w:p w14:paraId="40847FDC" w14:textId="77777777" w:rsidR="00995F84" w:rsidRDefault="00995F84" w:rsidP="00605CB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23E96F1" w14:textId="636EE381" w:rsidR="00995F84" w:rsidRDefault="00877D76" w:rsidP="00605CB0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2D2786">
              <w:rPr>
                <w:rFonts w:ascii="Times New Roman" w:hAnsi="Times New Roman"/>
                <w:sz w:val="24"/>
                <w:szCs w:val="24"/>
                <w:lang w:val="en-GB"/>
              </w:rPr>
              <w:t>AIC Parent, Inc.</w:t>
            </w:r>
            <w:r w:rsidRPr="002D2786">
              <w:rPr>
                <w:rFonts w:ascii="Times New Roman" w:hAnsi="Times New Roman" w:hint="eastAsia"/>
                <w:sz w:val="24"/>
                <w:szCs w:val="24"/>
                <w:lang w:val="en-GB"/>
              </w:rPr>
              <w:t>是</w:t>
            </w:r>
            <w:r w:rsidRPr="002D2786">
              <w:rPr>
                <w:rFonts w:ascii="Times New Roman" w:hAnsi="Times New Roman"/>
                <w:sz w:val="24"/>
                <w:szCs w:val="24"/>
                <w:lang w:val="en-GB"/>
              </w:rPr>
              <w:t>Advent International, L.P.</w:t>
            </w:r>
            <w:r w:rsidRPr="002D2786">
              <w:rPr>
                <w:rFonts w:ascii="Times New Roman" w:hAnsi="Times New Roman" w:hint="eastAsia"/>
                <w:sz w:val="24"/>
                <w:szCs w:val="24"/>
                <w:lang w:val="en-GB"/>
              </w:rPr>
              <w:t>（</w:t>
            </w:r>
            <w:r w:rsidR="00E27019">
              <w:rPr>
                <w:rFonts w:ascii="Times New Roman" w:hAnsi="Times New Roman" w:hint="eastAsia"/>
                <w:sz w:val="24"/>
                <w:szCs w:val="24"/>
                <w:lang w:val="en-GB"/>
              </w:rPr>
              <w:t>与</w:t>
            </w:r>
            <w:r w:rsidRPr="002D2786">
              <w:rPr>
                <w:rFonts w:ascii="Times New Roman" w:hAnsi="Times New Roman" w:hint="eastAsia"/>
                <w:sz w:val="24"/>
                <w:szCs w:val="24"/>
                <w:lang w:val="en-GB"/>
              </w:rPr>
              <w:t>其关联公司</w:t>
            </w:r>
            <w:r w:rsidR="00E27019" w:rsidRPr="00E27019">
              <w:rPr>
                <w:rFonts w:ascii="Times New Roman" w:hAnsi="Times New Roman" w:hint="eastAsia"/>
                <w:sz w:val="24"/>
                <w:szCs w:val="24"/>
                <w:lang w:val="en-GB"/>
              </w:rPr>
              <w:t>以及由其关联公司管理的投资基金统称</w:t>
            </w:r>
            <w:r w:rsidRPr="002D2786"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  <w:t>“</w:t>
            </w:r>
            <w:r w:rsidRPr="002D2786">
              <w:rPr>
                <w:rFonts w:ascii="Times New Roman" w:hAnsi="Times New Roman" w:hint="eastAsia"/>
                <w:b/>
                <w:bCs/>
                <w:sz w:val="24"/>
                <w:szCs w:val="24"/>
                <w:lang w:val="en-GB"/>
              </w:rPr>
              <w:t>安宏资本</w:t>
            </w:r>
            <w:r w:rsidRPr="002D2786"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  <w:t>”</w:t>
            </w:r>
            <w:r w:rsidRPr="002D2786">
              <w:rPr>
                <w:rFonts w:ascii="Times New Roman" w:hAnsi="Times New Roman" w:hint="eastAsia"/>
                <w:sz w:val="24"/>
                <w:szCs w:val="24"/>
                <w:lang w:val="en-GB"/>
              </w:rPr>
              <w:t>（</w:t>
            </w:r>
            <w:r w:rsidRPr="002D2786">
              <w:rPr>
                <w:rFonts w:ascii="Times New Roman" w:hAnsi="Times New Roman"/>
                <w:sz w:val="24"/>
                <w:szCs w:val="24"/>
                <w:lang w:val="en-GB"/>
              </w:rPr>
              <w:t>Advent</w:t>
            </w:r>
            <w:r w:rsidRPr="002D2786">
              <w:rPr>
                <w:rFonts w:ascii="Times New Roman" w:hAnsi="Times New Roman" w:hint="eastAsia"/>
                <w:sz w:val="24"/>
                <w:szCs w:val="24"/>
                <w:lang w:val="en-GB"/>
              </w:rPr>
              <w:t>））</w:t>
            </w:r>
            <w:r w:rsidR="00E27019" w:rsidRPr="002D2786">
              <w:rPr>
                <w:rFonts w:ascii="Times New Roman" w:hAnsi="Times New Roman" w:hint="eastAsia"/>
                <w:sz w:val="24"/>
                <w:szCs w:val="24"/>
                <w:lang w:val="en-GB"/>
              </w:rPr>
              <w:t>的控股公司</w:t>
            </w:r>
            <w:r w:rsidR="00995F84">
              <w:rPr>
                <w:rFonts w:ascii="Times New Roman" w:hAnsi="Times New Roman" w:hint="eastAsia"/>
                <w:sz w:val="24"/>
                <w:szCs w:val="24"/>
                <w:lang w:val="en-GB"/>
              </w:rPr>
              <w:t>，并通过持有安宏资本的普通合伙人权益最终控制安宏资本</w:t>
            </w:r>
            <w:r>
              <w:rPr>
                <w:rFonts w:ascii="Times New Roman" w:eastAsia="仿宋_GB2312" w:hAnsi="Times New Roman" w:hint="eastAsia"/>
                <w:sz w:val="24"/>
                <w:szCs w:val="24"/>
                <w:lang w:val="en-GB"/>
              </w:rPr>
              <w:t>。</w:t>
            </w:r>
            <w:r w:rsidR="00EA3282" w:rsidRPr="0076693D">
              <w:rPr>
                <w:rFonts w:ascii="Times New Roman" w:eastAsiaTheme="minorEastAsia" w:hAnsi="Times New Roman"/>
                <w:sz w:val="24"/>
                <w:szCs w:val="24"/>
              </w:rPr>
              <w:t>安宏资本是一家</w:t>
            </w:r>
            <w:r w:rsidR="00995F84">
              <w:rPr>
                <w:rFonts w:ascii="Times New Roman" w:eastAsiaTheme="minorEastAsia" w:hAnsi="Times New Roman" w:hint="eastAsia"/>
                <w:sz w:val="24"/>
                <w:szCs w:val="24"/>
              </w:rPr>
              <w:t>总部位于美国马萨诸塞州波士顿的</w:t>
            </w:r>
            <w:r w:rsidR="00EA3282" w:rsidRPr="0076693D">
              <w:rPr>
                <w:rFonts w:ascii="Times New Roman" w:eastAsiaTheme="minorEastAsia" w:hAnsi="Times New Roman"/>
                <w:sz w:val="24"/>
                <w:szCs w:val="24"/>
              </w:rPr>
              <w:t>私募股权投资</w:t>
            </w:r>
            <w:r w:rsidR="00605CB0">
              <w:rPr>
                <w:rFonts w:ascii="Times New Roman" w:eastAsiaTheme="minorEastAsia" w:hAnsi="Times New Roman" w:hint="eastAsia"/>
                <w:sz w:val="24"/>
                <w:szCs w:val="24"/>
              </w:rPr>
              <w:t>公司</w:t>
            </w:r>
            <w:r w:rsidR="00EA3282" w:rsidRPr="0076693D">
              <w:rPr>
                <w:rFonts w:ascii="Times New Roman" w:eastAsiaTheme="minorEastAsia" w:hAnsi="Times New Roman"/>
                <w:sz w:val="24"/>
                <w:szCs w:val="24"/>
              </w:rPr>
              <w:t>，专注于股权投资及投资基金管理，其</w:t>
            </w:r>
            <w:r w:rsidR="00CC26B5">
              <w:rPr>
                <w:rFonts w:ascii="Times New Roman" w:eastAsiaTheme="minorEastAsia" w:hAnsi="Times New Roman" w:hint="eastAsia"/>
                <w:sz w:val="24"/>
                <w:szCs w:val="24"/>
              </w:rPr>
              <w:t>全球</w:t>
            </w:r>
            <w:r w:rsidR="00EA3282" w:rsidRPr="0076693D">
              <w:rPr>
                <w:rFonts w:ascii="Times New Roman" w:eastAsiaTheme="minorEastAsia" w:hAnsi="Times New Roman"/>
                <w:sz w:val="24"/>
                <w:szCs w:val="24"/>
              </w:rPr>
              <w:t>业务范围涵盖医疗健康、工业、科技、零售、消费与休闲、以及商业与金融服务等</w:t>
            </w:r>
            <w:r w:rsidR="00EA3282" w:rsidRPr="0076693D">
              <w:rPr>
                <w:rFonts w:ascii="Times New Roman" w:eastAsiaTheme="minorEastAsia" w:hAnsi="Times New Roman"/>
                <w:sz w:val="24"/>
                <w:szCs w:val="24"/>
              </w:rPr>
              <w:lastRenderedPageBreak/>
              <w:t>多个领域。</w:t>
            </w:r>
            <w:r w:rsidR="00995F84" w:rsidRPr="00995F84">
              <w:rPr>
                <w:rFonts w:ascii="Times New Roman" w:eastAsiaTheme="minorEastAsia" w:hAnsi="Times New Roman" w:hint="eastAsia"/>
                <w:sz w:val="24"/>
                <w:szCs w:val="24"/>
              </w:rPr>
              <w:t>有关安宏资本的更多信息，请访问其官网：</w:t>
            </w:r>
            <w:hyperlink r:id="rId8" w:history="1">
              <w:r w:rsidR="00CC26B5" w:rsidRPr="00CC26B5">
                <w:rPr>
                  <w:rStyle w:val="afa"/>
                  <w:rFonts w:ascii="Times New Roman" w:eastAsiaTheme="minorEastAsia" w:hAnsi="Times New Roman"/>
                  <w:sz w:val="24"/>
                  <w:szCs w:val="24"/>
                  <w:lang w:val="en-GB"/>
                </w:rPr>
                <w:t>https://www.adventinternational.com/</w:t>
              </w:r>
            </w:hyperlink>
            <w:r w:rsidR="00995F84" w:rsidRPr="00995F84">
              <w:rPr>
                <w:rFonts w:ascii="Times New Roman" w:eastAsiaTheme="minorEastAsia" w:hAnsi="Times New Roman" w:hint="eastAsia"/>
                <w:sz w:val="24"/>
                <w:szCs w:val="24"/>
              </w:rPr>
              <w:t>。</w:t>
            </w:r>
          </w:p>
          <w:p w14:paraId="4B366772" w14:textId="77777777" w:rsidR="00995F84" w:rsidRDefault="00995F84" w:rsidP="00605CB0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14:paraId="4521B84C" w14:textId="301ACA1E" w:rsidR="000C5DCE" w:rsidRPr="00EA3282" w:rsidRDefault="00EA3282" w:rsidP="00605CB0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盛峰资本（</w:t>
            </w:r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Cinven</w:t>
            </w:r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）</w:t>
            </w:r>
            <w:r w:rsidR="00605CB0" w:rsidRPr="0076693D">
              <w:rPr>
                <w:rFonts w:ascii="Times New Roman" w:eastAsiaTheme="minorEastAsia" w:hAnsi="Times New Roman"/>
                <w:sz w:val="24"/>
                <w:szCs w:val="24"/>
              </w:rPr>
              <w:t>是</w:t>
            </w:r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一家私募股权公司，主要业务是为众多投资基金提供投资管理服务。第七盛峰基金（</w:t>
            </w:r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Seventh Cinven Fund</w:t>
            </w:r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）</w:t>
            </w:r>
            <w:r w:rsidR="00460132">
              <w:rPr>
                <w:rFonts w:ascii="Times New Roman" w:eastAsiaTheme="minorEastAsia" w:hAnsi="Times New Roman" w:hint="eastAsia"/>
                <w:sz w:val="24"/>
                <w:szCs w:val="24"/>
              </w:rPr>
              <w:t>和</w:t>
            </w:r>
            <w:proofErr w:type="spellStart"/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Cinven</w:t>
            </w:r>
            <w:proofErr w:type="spellEnd"/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 xml:space="preserve"> VII </w:t>
            </w:r>
            <w:proofErr w:type="spellStart"/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GPCo</w:t>
            </w:r>
            <w:proofErr w:type="spellEnd"/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是盛峰资本的一部分</w:t>
            </w:r>
            <w:r w:rsidR="00460132">
              <w:rPr>
                <w:rFonts w:ascii="Times New Roman" w:eastAsiaTheme="minorEastAsia" w:hAnsi="Times New Roman" w:hint="eastAsia"/>
                <w:sz w:val="24"/>
                <w:szCs w:val="24"/>
              </w:rPr>
              <w:t>，第七盛峰基金由</w:t>
            </w:r>
            <w:proofErr w:type="spellStart"/>
            <w:r w:rsidR="00460132" w:rsidRPr="0076693D">
              <w:rPr>
                <w:rFonts w:ascii="Times New Roman" w:eastAsiaTheme="minorEastAsia" w:hAnsi="Times New Roman"/>
                <w:sz w:val="24"/>
                <w:szCs w:val="24"/>
              </w:rPr>
              <w:t>Cinven</w:t>
            </w:r>
            <w:proofErr w:type="spellEnd"/>
            <w:r w:rsidR="00460132" w:rsidRPr="0076693D">
              <w:rPr>
                <w:rFonts w:ascii="Times New Roman" w:eastAsiaTheme="minorEastAsia" w:hAnsi="Times New Roman"/>
                <w:sz w:val="24"/>
                <w:szCs w:val="24"/>
              </w:rPr>
              <w:t xml:space="preserve"> VII </w:t>
            </w:r>
            <w:proofErr w:type="spellStart"/>
            <w:r w:rsidR="00460132" w:rsidRPr="0076693D">
              <w:rPr>
                <w:rFonts w:ascii="Times New Roman" w:eastAsiaTheme="minorEastAsia" w:hAnsi="Times New Roman"/>
                <w:sz w:val="24"/>
                <w:szCs w:val="24"/>
              </w:rPr>
              <w:t>GPCo</w:t>
            </w:r>
            <w:proofErr w:type="spellEnd"/>
            <w:r w:rsidR="00460132">
              <w:rPr>
                <w:rFonts w:ascii="Times New Roman" w:eastAsiaTheme="minorEastAsia" w:hAnsi="Times New Roman" w:hint="eastAsia"/>
                <w:sz w:val="24"/>
                <w:szCs w:val="24"/>
              </w:rPr>
              <w:t>间接控制</w:t>
            </w:r>
            <w:r w:rsidRPr="0076693D">
              <w:rPr>
                <w:rFonts w:ascii="Times New Roman" w:eastAsiaTheme="minorEastAsia" w:hAnsi="Times New Roman"/>
                <w:sz w:val="24"/>
                <w:szCs w:val="24"/>
              </w:rPr>
              <w:t>。盛峰资本所管理基金的投资组合公司涵盖多个行业，包括商事服务、消费品、金融服务、医疗保健、工业以及科技、媒体和电信。</w:t>
            </w:r>
            <w:r w:rsidR="00995F84" w:rsidRPr="00995F84">
              <w:rPr>
                <w:rFonts w:ascii="Times New Roman" w:eastAsiaTheme="minorEastAsia" w:hAnsi="Times New Roman" w:hint="eastAsia"/>
                <w:sz w:val="24"/>
                <w:szCs w:val="24"/>
              </w:rPr>
              <w:t>有关盛峰公司的更多信息，请访问其官网：</w:t>
            </w:r>
            <w:r w:rsidR="00995F84" w:rsidRPr="00995F84">
              <w:rPr>
                <w:rFonts w:ascii="Times New Roman" w:eastAsiaTheme="minorEastAsia" w:hAnsi="Times New Roman" w:hint="eastAsia"/>
                <w:sz w:val="24"/>
                <w:szCs w:val="24"/>
              </w:rPr>
              <w:t>https://www.cinven.com/</w:t>
            </w:r>
            <w:r w:rsidR="00995F84" w:rsidRPr="00995F84">
              <w:rPr>
                <w:rFonts w:ascii="Times New Roman" w:eastAsiaTheme="minorEastAsia" w:hAnsi="Times New Roman" w:hint="eastAsia"/>
                <w:sz w:val="24"/>
                <w:szCs w:val="24"/>
              </w:rPr>
              <w:t>。</w:t>
            </w:r>
          </w:p>
        </w:tc>
      </w:tr>
      <w:tr w:rsidR="000C5DCE" w:rsidRPr="00EA3282" w14:paraId="28533C74" w14:textId="77777777" w:rsidTr="00D237E2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E63046E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lastRenderedPageBreak/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7ADF9C1" w14:textId="7959E91C" w:rsidR="000C5DCE" w:rsidRPr="00EA3282" w:rsidRDefault="00346DDA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sym w:font="Wingdings" w:char="00A8"/>
            </w:r>
            <w:r w:rsidR="000C5DCE"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 xml:space="preserve"> 1</w:t>
            </w:r>
            <w:r w:rsidR="000C5DCE"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0C5DCE"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15%</w:t>
            </w:r>
            <w:r w:rsidR="000C5DCE"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。</w:t>
            </w:r>
          </w:p>
        </w:tc>
      </w:tr>
      <w:tr w:rsidR="000C5DCE" w:rsidRPr="00EA3282" w14:paraId="6EEE466B" w14:textId="77777777" w:rsidTr="00D237E2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C42F1BA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F404044" w14:textId="7B9A441B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sym w:font="Wingdings" w:char="00A8"/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 xml:space="preserve"> 2</w:t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25%</w:t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。</w:t>
            </w:r>
          </w:p>
        </w:tc>
      </w:tr>
      <w:tr w:rsidR="000C5DCE" w:rsidRPr="00EA3282" w14:paraId="6A3FED08" w14:textId="77777777" w:rsidTr="00D237E2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106F48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F89F318" w14:textId="18F572F0" w:rsidR="000C5DCE" w:rsidRPr="00EA3282" w:rsidRDefault="00C724B4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sym w:font="Wingdings" w:char="00A8"/>
            </w:r>
            <w:r w:rsidR="000C5DCE"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 xml:space="preserve"> 3</w:t>
            </w:r>
            <w:r w:rsidR="000C5DCE"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0C5DCE"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25%</w:t>
            </w:r>
            <w:r w:rsidR="000C5DCE"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。</w:t>
            </w:r>
          </w:p>
        </w:tc>
      </w:tr>
      <w:tr w:rsidR="000C5DCE" w:rsidRPr="00EA3282" w14:paraId="0D98A27A" w14:textId="77777777" w:rsidTr="00D237E2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31753BED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88BBC6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sym w:font="Wingdings" w:char="00A8"/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 xml:space="preserve"> 4</w:t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0C5DCE" w:rsidRPr="00EA3282" w14:paraId="79DDF106" w14:textId="77777777" w:rsidTr="00D237E2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39DEC6D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C83DDB9" w14:textId="7F8AAE0C" w:rsidR="000C5DCE" w:rsidRPr="00EA3282" w:rsidRDefault="00346DDA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sym w:font="Wingdings" w:char="00FE"/>
            </w:r>
            <w:r w:rsidR="000C5DCE"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 xml:space="preserve"> 5</w:t>
            </w:r>
            <w:r w:rsidR="000C5DCE"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0C5DCE" w:rsidRPr="00EA3282" w14:paraId="14CD605A" w14:textId="77777777" w:rsidTr="00D237E2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27465D2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672FFD5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sym w:font="Wingdings" w:char="00A8"/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 xml:space="preserve"> 6</w:t>
            </w:r>
            <w:r w:rsidRPr="00EA3282">
              <w:rPr>
                <w:rFonts w:eastAsiaTheme="minorEastAsia"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0C5DCE" w:rsidRPr="00EA3282" w14:paraId="3C571F0E" w14:textId="77777777" w:rsidTr="00D237E2">
        <w:trPr>
          <w:trHeight w:val="545"/>
        </w:trPr>
        <w:tc>
          <w:tcPr>
            <w:tcW w:w="1940" w:type="dxa"/>
            <w:shd w:val="clear" w:color="auto" w:fill="D9D9D9"/>
            <w:vAlign w:val="center"/>
          </w:tcPr>
          <w:p w14:paraId="25F62B99" w14:textId="77777777" w:rsidR="000C5DCE" w:rsidRPr="00EA3282" w:rsidRDefault="000C5DCE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EA3282">
              <w:rPr>
                <w:rFonts w:eastAsiaTheme="minorEastAsia"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28B7D6B" w14:textId="6CEF31E2" w:rsidR="000C5DCE" w:rsidRPr="00EA3282" w:rsidRDefault="00111F6B" w:rsidP="00D237E2">
            <w:pPr>
              <w:pStyle w:val="af9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eastAsia="zh-CN"/>
              </w:rPr>
            </w:pPr>
            <w:r>
              <w:rPr>
                <w:rFonts w:eastAsiaTheme="minorEastAsia" w:cs="Times New Roman" w:hint="eastAsia"/>
                <w:bCs/>
                <w:color w:val="000000"/>
                <w:lang w:eastAsia="zh-CN"/>
              </w:rPr>
              <w:t>不适用</w:t>
            </w:r>
            <w:bookmarkStart w:id="0" w:name="_GoBack"/>
            <w:bookmarkEnd w:id="0"/>
          </w:p>
        </w:tc>
      </w:tr>
    </w:tbl>
    <w:p w14:paraId="754F23DE" w14:textId="77777777" w:rsidR="000C5DCE" w:rsidRPr="00EA3282" w:rsidRDefault="000C5DCE" w:rsidP="000C5DCE">
      <w:pPr>
        <w:pStyle w:val="af9"/>
        <w:adjustRightInd w:val="0"/>
        <w:snapToGrid w:val="0"/>
        <w:spacing w:after="0"/>
        <w:rPr>
          <w:rFonts w:eastAsia="仿宋" w:cs="Times New Roman"/>
          <w:b/>
          <w:color w:val="000000"/>
          <w:lang w:eastAsia="zh-CN"/>
        </w:rPr>
      </w:pPr>
    </w:p>
    <w:p w14:paraId="1FA0F3BE" w14:textId="77777777" w:rsidR="00716957" w:rsidRPr="00EA3282" w:rsidRDefault="00716957" w:rsidP="000C5DCE">
      <w:pPr>
        <w:rPr>
          <w:rFonts w:ascii="Times New Roman" w:eastAsia="仿宋" w:hAnsi="Times New Roman"/>
          <w:sz w:val="24"/>
          <w:szCs w:val="24"/>
        </w:rPr>
      </w:pPr>
    </w:p>
    <w:sectPr w:rsidR="00716957" w:rsidRPr="00EA3282"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F2F7E9" w14:textId="77777777" w:rsidR="00C15275" w:rsidRDefault="00C15275">
      <w:r>
        <w:separator/>
      </w:r>
    </w:p>
  </w:endnote>
  <w:endnote w:type="continuationSeparator" w:id="0">
    <w:p w14:paraId="4BD285A3" w14:textId="77777777" w:rsidR="00C15275" w:rsidRDefault="00C15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7C6DD641-4AFF-4194-83D3-6844BD33BEED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3" w:usb1="080E0000" w:usb2="00000010" w:usb3="00000000" w:csb0="00040001" w:csb1="00000000"/>
    <w:embedRegular r:id="rId2" w:subsetted="1" w:fontKey="{C629DF9C-C6B4-455C-9169-22E23007064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1C5FA0" w14:textId="1B5360BD" w:rsidR="00716957" w:rsidRPr="00716957" w:rsidRDefault="00716957" w:rsidP="00716957">
    <w:pPr>
      <w:tabs>
        <w:tab w:val="right" w:pos="8300"/>
      </w:tabs>
      <w:rPr>
        <w:rFonts w:ascii="Times New Roman" w:hAnsi="Times New Roman"/>
        <w:sz w:val="15"/>
      </w:rPr>
    </w:pPr>
    <w:r w:rsidRPr="00716957">
      <w:rPr>
        <w:rFonts w:ascii="Times New Roman" w:hAnsi="Times New Roman"/>
        <w:sz w:val="14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BBF935" w14:textId="7754506D" w:rsidR="00716957" w:rsidRDefault="00716957" w:rsidP="00716957">
    <w:pPr>
      <w:pStyle w:val="a5"/>
    </w:pPr>
  </w:p>
  <w:p w14:paraId="789E4E32" w14:textId="485EE17B" w:rsidR="00716957" w:rsidRPr="00716957" w:rsidRDefault="00716957" w:rsidP="00716957">
    <w:pPr>
      <w:tabs>
        <w:tab w:val="right" w:pos="8300"/>
      </w:tabs>
      <w:rPr>
        <w:rFonts w:ascii="Times New Roman" w:hAnsi="Times New Roman"/>
        <w:sz w:val="15"/>
      </w:rPr>
    </w:pPr>
    <w:r w:rsidRPr="00716957">
      <w:rPr>
        <w:rFonts w:ascii="Times New Roman" w:hAnsi="Times New Roman"/>
        <w:sz w:val="14"/>
      </w:rPr>
      <w:fldChar w:fldCharType="begin"/>
    </w:r>
    <w:r w:rsidRPr="00716957">
      <w:rPr>
        <w:rFonts w:ascii="Times New Roman" w:hAnsi="Times New Roman"/>
        <w:sz w:val="14"/>
      </w:rPr>
      <w:instrText xml:space="preserve"> DOCPROPERTY DPWPathText \* MERGEFORMAT </w:instrText>
    </w:r>
    <w:r w:rsidRPr="00716957">
      <w:rPr>
        <w:rFonts w:ascii="Times New Roman" w:hAnsi="Times New Roman"/>
        <w:sz w:val="14"/>
      </w:rPr>
      <w:fldChar w:fldCharType="separate"/>
    </w:r>
    <w:r w:rsidR="00B54D86">
      <w:rPr>
        <w:rFonts w:ascii="Times New Roman" w:hAnsi="Times New Roman"/>
        <w:sz w:val="14"/>
      </w:rPr>
      <w:t>#97717177v5</w:t>
    </w:r>
    <w:r w:rsidRPr="00716957">
      <w:rPr>
        <w:rFonts w:ascii="Times New Roman" w:hAnsi="Times New Roman"/>
        <w:sz w:val="14"/>
      </w:rPr>
      <w:fldChar w:fldCharType="end"/>
    </w:r>
    <w:r w:rsidRPr="00716957">
      <w:rPr>
        <w:rFonts w:ascii="Times New Roman" w:hAnsi="Times New Roman"/>
        <w:sz w:val="14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875A09" w14:textId="77777777" w:rsidR="00C15275" w:rsidRDefault="00C15275">
      <w:r>
        <w:separator/>
      </w:r>
    </w:p>
  </w:footnote>
  <w:footnote w:type="continuationSeparator" w:id="0">
    <w:p w14:paraId="6D92C4C4" w14:textId="77777777" w:rsidR="00C15275" w:rsidRDefault="00C15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75D0B"/>
    <w:multiLevelType w:val="multilevel"/>
    <w:tmpl w:val="11175D0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xMDQGAiMjS1MDYyUdpeDU4uLM/DyQAsNaAAxkURMsAAAA"/>
  </w:docVars>
  <w:rsids>
    <w:rsidRoot w:val="00074D3D"/>
    <w:rsid w:val="00010F64"/>
    <w:rsid w:val="000136AE"/>
    <w:rsid w:val="0001697C"/>
    <w:rsid w:val="000240FA"/>
    <w:rsid w:val="00036E43"/>
    <w:rsid w:val="0004528C"/>
    <w:rsid w:val="0005556E"/>
    <w:rsid w:val="000604A9"/>
    <w:rsid w:val="00074D3D"/>
    <w:rsid w:val="00082A31"/>
    <w:rsid w:val="00092C79"/>
    <w:rsid w:val="000A0AA4"/>
    <w:rsid w:val="000A2D7D"/>
    <w:rsid w:val="000A50B3"/>
    <w:rsid w:val="000C5DCE"/>
    <w:rsid w:val="000F04BC"/>
    <w:rsid w:val="000F25B0"/>
    <w:rsid w:val="001102CC"/>
    <w:rsid w:val="00111F6B"/>
    <w:rsid w:val="00115EDD"/>
    <w:rsid w:val="001330CB"/>
    <w:rsid w:val="00144166"/>
    <w:rsid w:val="001531F0"/>
    <w:rsid w:val="001642E6"/>
    <w:rsid w:val="00172C77"/>
    <w:rsid w:val="001921BD"/>
    <w:rsid w:val="001A2E7E"/>
    <w:rsid w:val="001A7487"/>
    <w:rsid w:val="001E5EC9"/>
    <w:rsid w:val="001F64D6"/>
    <w:rsid w:val="00213334"/>
    <w:rsid w:val="00217887"/>
    <w:rsid w:val="00223618"/>
    <w:rsid w:val="002875EE"/>
    <w:rsid w:val="00294130"/>
    <w:rsid w:val="002A1561"/>
    <w:rsid w:val="002A17E2"/>
    <w:rsid w:val="002A27D5"/>
    <w:rsid w:val="002B3A6A"/>
    <w:rsid w:val="002C3658"/>
    <w:rsid w:val="002C4805"/>
    <w:rsid w:val="002C4B86"/>
    <w:rsid w:val="002D2786"/>
    <w:rsid w:val="002E582A"/>
    <w:rsid w:val="002E7C3C"/>
    <w:rsid w:val="002F0F31"/>
    <w:rsid w:val="003047E0"/>
    <w:rsid w:val="0034412A"/>
    <w:rsid w:val="00346DDA"/>
    <w:rsid w:val="00363D45"/>
    <w:rsid w:val="00367DAA"/>
    <w:rsid w:val="00370A5E"/>
    <w:rsid w:val="003877B1"/>
    <w:rsid w:val="0039111D"/>
    <w:rsid w:val="00395012"/>
    <w:rsid w:val="003A3C98"/>
    <w:rsid w:val="003B2B22"/>
    <w:rsid w:val="003B31FD"/>
    <w:rsid w:val="003B3A48"/>
    <w:rsid w:val="003C3255"/>
    <w:rsid w:val="003D21EE"/>
    <w:rsid w:val="003D3BE6"/>
    <w:rsid w:val="003E03EC"/>
    <w:rsid w:val="003E25D4"/>
    <w:rsid w:val="004031A8"/>
    <w:rsid w:val="004246EA"/>
    <w:rsid w:val="00450606"/>
    <w:rsid w:val="00455312"/>
    <w:rsid w:val="00460132"/>
    <w:rsid w:val="00467AD0"/>
    <w:rsid w:val="0047223A"/>
    <w:rsid w:val="004914EC"/>
    <w:rsid w:val="004D16CF"/>
    <w:rsid w:val="004D62E0"/>
    <w:rsid w:val="004D7723"/>
    <w:rsid w:val="004F26C2"/>
    <w:rsid w:val="004F5B8B"/>
    <w:rsid w:val="005117A4"/>
    <w:rsid w:val="0051525B"/>
    <w:rsid w:val="00522B8F"/>
    <w:rsid w:val="00525194"/>
    <w:rsid w:val="00541F12"/>
    <w:rsid w:val="0055706A"/>
    <w:rsid w:val="00570F77"/>
    <w:rsid w:val="005B1F0C"/>
    <w:rsid w:val="005B37E1"/>
    <w:rsid w:val="005C019A"/>
    <w:rsid w:val="005D0340"/>
    <w:rsid w:val="005F174E"/>
    <w:rsid w:val="00600B0D"/>
    <w:rsid w:val="00605CB0"/>
    <w:rsid w:val="006064F9"/>
    <w:rsid w:val="00615A86"/>
    <w:rsid w:val="00632F61"/>
    <w:rsid w:val="00632FBE"/>
    <w:rsid w:val="0065404B"/>
    <w:rsid w:val="0067329D"/>
    <w:rsid w:val="00675B31"/>
    <w:rsid w:val="00691CEC"/>
    <w:rsid w:val="006A3BC5"/>
    <w:rsid w:val="006A696B"/>
    <w:rsid w:val="006C6024"/>
    <w:rsid w:val="006D5291"/>
    <w:rsid w:val="006E33DF"/>
    <w:rsid w:val="006E48E6"/>
    <w:rsid w:val="006F5967"/>
    <w:rsid w:val="006F741C"/>
    <w:rsid w:val="007023CF"/>
    <w:rsid w:val="007122F7"/>
    <w:rsid w:val="00716957"/>
    <w:rsid w:val="007274E7"/>
    <w:rsid w:val="0076693D"/>
    <w:rsid w:val="00782098"/>
    <w:rsid w:val="007C28D2"/>
    <w:rsid w:val="007D41A5"/>
    <w:rsid w:val="007D65ED"/>
    <w:rsid w:val="007E6958"/>
    <w:rsid w:val="007F59DF"/>
    <w:rsid w:val="00800CB6"/>
    <w:rsid w:val="00803E72"/>
    <w:rsid w:val="0081054C"/>
    <w:rsid w:val="0083472D"/>
    <w:rsid w:val="00835197"/>
    <w:rsid w:val="00835C35"/>
    <w:rsid w:val="00865E72"/>
    <w:rsid w:val="00877D76"/>
    <w:rsid w:val="00880FED"/>
    <w:rsid w:val="008D1232"/>
    <w:rsid w:val="008E0767"/>
    <w:rsid w:val="008F494B"/>
    <w:rsid w:val="00905FDE"/>
    <w:rsid w:val="00907516"/>
    <w:rsid w:val="009171D6"/>
    <w:rsid w:val="0093225A"/>
    <w:rsid w:val="00936F6F"/>
    <w:rsid w:val="0093742C"/>
    <w:rsid w:val="00941F2C"/>
    <w:rsid w:val="00944B21"/>
    <w:rsid w:val="00964685"/>
    <w:rsid w:val="00991E50"/>
    <w:rsid w:val="00995F84"/>
    <w:rsid w:val="009B7D70"/>
    <w:rsid w:val="009C7437"/>
    <w:rsid w:val="009D7DDA"/>
    <w:rsid w:val="009E69BB"/>
    <w:rsid w:val="00A162D8"/>
    <w:rsid w:val="00A2578E"/>
    <w:rsid w:val="00A52987"/>
    <w:rsid w:val="00A607BA"/>
    <w:rsid w:val="00A703C2"/>
    <w:rsid w:val="00AA676A"/>
    <w:rsid w:val="00AC4A79"/>
    <w:rsid w:val="00AC4F2D"/>
    <w:rsid w:val="00AC7905"/>
    <w:rsid w:val="00AE438F"/>
    <w:rsid w:val="00AE5974"/>
    <w:rsid w:val="00AE6AF6"/>
    <w:rsid w:val="00AF45B6"/>
    <w:rsid w:val="00AF623D"/>
    <w:rsid w:val="00AF7030"/>
    <w:rsid w:val="00B13DE8"/>
    <w:rsid w:val="00B23C7E"/>
    <w:rsid w:val="00B25085"/>
    <w:rsid w:val="00B30C1E"/>
    <w:rsid w:val="00B33953"/>
    <w:rsid w:val="00B37F9E"/>
    <w:rsid w:val="00B54D86"/>
    <w:rsid w:val="00B76377"/>
    <w:rsid w:val="00B872E0"/>
    <w:rsid w:val="00B90789"/>
    <w:rsid w:val="00BA3A3C"/>
    <w:rsid w:val="00BA7683"/>
    <w:rsid w:val="00BA7898"/>
    <w:rsid w:val="00BB47A3"/>
    <w:rsid w:val="00BB5A1D"/>
    <w:rsid w:val="00BF0A8C"/>
    <w:rsid w:val="00BF41C5"/>
    <w:rsid w:val="00C14D43"/>
    <w:rsid w:val="00C15275"/>
    <w:rsid w:val="00C32417"/>
    <w:rsid w:val="00C32A64"/>
    <w:rsid w:val="00C32AA1"/>
    <w:rsid w:val="00C33AE6"/>
    <w:rsid w:val="00C60F61"/>
    <w:rsid w:val="00C71C4F"/>
    <w:rsid w:val="00C724B4"/>
    <w:rsid w:val="00C77780"/>
    <w:rsid w:val="00C856D1"/>
    <w:rsid w:val="00C91B50"/>
    <w:rsid w:val="00CC1B6E"/>
    <w:rsid w:val="00CC2230"/>
    <w:rsid w:val="00CC26B5"/>
    <w:rsid w:val="00CC4B26"/>
    <w:rsid w:val="00CC61B5"/>
    <w:rsid w:val="00CD4EC7"/>
    <w:rsid w:val="00CE08D9"/>
    <w:rsid w:val="00CE4E97"/>
    <w:rsid w:val="00D114EB"/>
    <w:rsid w:val="00D23489"/>
    <w:rsid w:val="00D37E13"/>
    <w:rsid w:val="00DB5DCA"/>
    <w:rsid w:val="00DB74B8"/>
    <w:rsid w:val="00DC2052"/>
    <w:rsid w:val="00DD4B15"/>
    <w:rsid w:val="00E13AB7"/>
    <w:rsid w:val="00E15D21"/>
    <w:rsid w:val="00E239C0"/>
    <w:rsid w:val="00E27019"/>
    <w:rsid w:val="00E30980"/>
    <w:rsid w:val="00E4224C"/>
    <w:rsid w:val="00E42635"/>
    <w:rsid w:val="00E46556"/>
    <w:rsid w:val="00E47A30"/>
    <w:rsid w:val="00E7641C"/>
    <w:rsid w:val="00E76E5C"/>
    <w:rsid w:val="00E86B58"/>
    <w:rsid w:val="00EA3282"/>
    <w:rsid w:val="00EC0EFF"/>
    <w:rsid w:val="00ED283B"/>
    <w:rsid w:val="00ED4531"/>
    <w:rsid w:val="00ED5DF6"/>
    <w:rsid w:val="00F17037"/>
    <w:rsid w:val="00F42B34"/>
    <w:rsid w:val="00F46D7A"/>
    <w:rsid w:val="00F513B0"/>
    <w:rsid w:val="00F57F1C"/>
    <w:rsid w:val="00F74C85"/>
    <w:rsid w:val="00F845B8"/>
    <w:rsid w:val="00F93D09"/>
    <w:rsid w:val="00FA5836"/>
    <w:rsid w:val="00FC7039"/>
    <w:rsid w:val="00FE1719"/>
    <w:rsid w:val="00FE5424"/>
    <w:rsid w:val="00FF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B0CD45"/>
  <w15:docId w15:val="{1C10BE5E-1EB9-4DF6-BF8C-8178A71D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customStyle="1" w:styleId="Char">
    <w:name w:val="尾注文本 Char"/>
    <w:basedOn w:val="a0"/>
    <w:link w:val="a3"/>
    <w:uiPriority w:val="99"/>
    <w:semiHidden/>
  </w:style>
  <w:style w:type="character" w:customStyle="1" w:styleId="Char2">
    <w:name w:val="页眉 Char"/>
    <w:link w:val="a6"/>
    <w:uiPriority w:val="99"/>
    <w:rPr>
      <w:sz w:val="18"/>
      <w:szCs w:val="18"/>
    </w:rPr>
  </w:style>
  <w:style w:type="character" w:customStyle="1" w:styleId="Char1">
    <w:name w:val="页脚 Char"/>
    <w:link w:val="a5"/>
    <w:uiPriority w:val="99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Pr>
      <w:kern w:val="2"/>
      <w:sz w:val="18"/>
      <w:szCs w:val="18"/>
    </w:rPr>
  </w:style>
  <w:style w:type="paragraph" w:styleId="a9">
    <w:name w:val="Revision"/>
    <w:hidden/>
    <w:uiPriority w:val="99"/>
    <w:unhideWhenUsed/>
    <w:rPr>
      <w:kern w:val="2"/>
      <w:sz w:val="21"/>
      <w:szCs w:val="22"/>
    </w:rPr>
  </w:style>
  <w:style w:type="paragraph" w:styleId="aa">
    <w:name w:val="annotation text"/>
    <w:basedOn w:val="a"/>
    <w:link w:val="Char3"/>
    <w:uiPriority w:val="99"/>
    <w:unhideWhenUsed/>
    <w:rsid w:val="00E7641C"/>
    <w:rPr>
      <w:sz w:val="20"/>
      <w:szCs w:val="20"/>
    </w:rPr>
  </w:style>
  <w:style w:type="character" w:customStyle="1" w:styleId="Char3">
    <w:name w:val="批注文字 Char"/>
    <w:basedOn w:val="a0"/>
    <w:link w:val="aa"/>
    <w:uiPriority w:val="99"/>
    <w:rsid w:val="00E7641C"/>
    <w:rPr>
      <w:kern w:val="2"/>
    </w:rPr>
  </w:style>
  <w:style w:type="character" w:styleId="ab">
    <w:name w:val="annotation reference"/>
    <w:basedOn w:val="a0"/>
    <w:uiPriority w:val="99"/>
    <w:unhideWhenUsed/>
    <w:rsid w:val="00E7641C"/>
    <w:rPr>
      <w:sz w:val="21"/>
      <w:szCs w:val="21"/>
    </w:rPr>
  </w:style>
  <w:style w:type="paragraph" w:styleId="ac">
    <w:name w:val="annotation subject"/>
    <w:basedOn w:val="aa"/>
    <w:next w:val="aa"/>
    <w:link w:val="Char4"/>
    <w:uiPriority w:val="99"/>
    <w:semiHidden/>
    <w:unhideWhenUsed/>
    <w:rsid w:val="00E7641C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7641C"/>
    <w:rPr>
      <w:b/>
      <w:bCs/>
      <w:kern w:val="2"/>
    </w:rPr>
  </w:style>
  <w:style w:type="character" w:styleId="ad">
    <w:name w:val="Subtle Emphasis"/>
    <w:basedOn w:val="a0"/>
    <w:uiPriority w:val="19"/>
    <w:semiHidden/>
    <w:qFormat/>
    <w:rsid w:val="00716957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semiHidden/>
    <w:qFormat/>
    <w:rsid w:val="00716957"/>
    <w:rPr>
      <w:i/>
      <w:iCs/>
    </w:rPr>
  </w:style>
  <w:style w:type="character" w:styleId="af">
    <w:name w:val="Intense Emphasis"/>
    <w:basedOn w:val="a0"/>
    <w:uiPriority w:val="21"/>
    <w:semiHidden/>
    <w:qFormat/>
    <w:rsid w:val="00716957"/>
    <w:rPr>
      <w:i/>
      <w:iCs/>
      <w:color w:val="5B9BD5" w:themeColor="accent1"/>
    </w:rPr>
  </w:style>
  <w:style w:type="character" w:styleId="af0">
    <w:name w:val="Strong"/>
    <w:basedOn w:val="a0"/>
    <w:uiPriority w:val="22"/>
    <w:semiHidden/>
    <w:qFormat/>
    <w:rsid w:val="00716957"/>
    <w:rPr>
      <w:b/>
      <w:bCs/>
    </w:rPr>
  </w:style>
  <w:style w:type="paragraph" w:styleId="af1">
    <w:name w:val="Quote"/>
    <w:basedOn w:val="a"/>
    <w:next w:val="a"/>
    <w:link w:val="Char5"/>
    <w:uiPriority w:val="99"/>
    <w:semiHidden/>
    <w:unhideWhenUsed/>
    <w:rsid w:val="0071695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5">
    <w:name w:val="引用 Char"/>
    <w:basedOn w:val="a0"/>
    <w:link w:val="af1"/>
    <w:uiPriority w:val="99"/>
    <w:semiHidden/>
    <w:rsid w:val="00716957"/>
    <w:rPr>
      <w:i/>
      <w:iCs/>
      <w:color w:val="404040" w:themeColor="text1" w:themeTint="BF"/>
      <w:kern w:val="2"/>
      <w:sz w:val="21"/>
      <w:szCs w:val="22"/>
    </w:rPr>
  </w:style>
  <w:style w:type="paragraph" w:styleId="af2">
    <w:name w:val="Intense Quote"/>
    <w:basedOn w:val="a"/>
    <w:next w:val="a"/>
    <w:link w:val="Char6"/>
    <w:uiPriority w:val="99"/>
    <w:semiHidden/>
    <w:unhideWhenUsed/>
    <w:rsid w:val="0071695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6">
    <w:name w:val="明显引用 Char"/>
    <w:basedOn w:val="a0"/>
    <w:link w:val="af2"/>
    <w:uiPriority w:val="99"/>
    <w:semiHidden/>
    <w:rsid w:val="00716957"/>
    <w:rPr>
      <w:i/>
      <w:iCs/>
      <w:color w:val="5B9BD5" w:themeColor="accent1"/>
      <w:kern w:val="2"/>
      <w:sz w:val="21"/>
      <w:szCs w:val="22"/>
    </w:rPr>
  </w:style>
  <w:style w:type="character" w:styleId="af3">
    <w:name w:val="Subtle Reference"/>
    <w:basedOn w:val="a0"/>
    <w:uiPriority w:val="31"/>
    <w:semiHidden/>
    <w:qFormat/>
    <w:rsid w:val="00716957"/>
    <w:rPr>
      <w:smallCaps/>
      <w:color w:val="5A5A5A" w:themeColor="text1" w:themeTint="A5"/>
    </w:rPr>
  </w:style>
  <w:style w:type="character" w:styleId="af4">
    <w:name w:val="Intense Reference"/>
    <w:basedOn w:val="a0"/>
    <w:uiPriority w:val="32"/>
    <w:semiHidden/>
    <w:qFormat/>
    <w:rsid w:val="00716957"/>
    <w:rPr>
      <w:b/>
      <w:bCs/>
      <w:smallCaps/>
      <w:color w:val="5B9BD5" w:themeColor="accent1"/>
      <w:spacing w:val="5"/>
    </w:rPr>
  </w:style>
  <w:style w:type="character" w:styleId="af5">
    <w:name w:val="Book Title"/>
    <w:basedOn w:val="a0"/>
    <w:uiPriority w:val="33"/>
    <w:semiHidden/>
    <w:qFormat/>
    <w:rsid w:val="00716957"/>
    <w:rPr>
      <w:b/>
      <w:bCs/>
      <w:i/>
      <w:iCs/>
      <w:spacing w:val="5"/>
    </w:rPr>
  </w:style>
  <w:style w:type="paragraph" w:styleId="af6">
    <w:name w:val="List Paragraph"/>
    <w:basedOn w:val="a"/>
    <w:uiPriority w:val="99"/>
    <w:semiHidden/>
    <w:unhideWhenUsed/>
    <w:rsid w:val="00716957"/>
    <w:pPr>
      <w:ind w:left="720"/>
      <w:contextualSpacing/>
    </w:pPr>
  </w:style>
  <w:style w:type="paragraph" w:styleId="af7">
    <w:name w:val="footnote text"/>
    <w:basedOn w:val="a"/>
    <w:link w:val="Char7"/>
    <w:uiPriority w:val="99"/>
    <w:semiHidden/>
    <w:unhideWhenUsed/>
    <w:rsid w:val="00B54D86"/>
    <w:rPr>
      <w:sz w:val="20"/>
      <w:szCs w:val="20"/>
    </w:rPr>
  </w:style>
  <w:style w:type="character" w:customStyle="1" w:styleId="Char7">
    <w:name w:val="脚注文本 Char"/>
    <w:basedOn w:val="a0"/>
    <w:link w:val="af7"/>
    <w:uiPriority w:val="99"/>
    <w:semiHidden/>
    <w:rsid w:val="00B54D86"/>
    <w:rPr>
      <w:kern w:val="2"/>
    </w:rPr>
  </w:style>
  <w:style w:type="character" w:styleId="af8">
    <w:name w:val="footnote reference"/>
    <w:basedOn w:val="a0"/>
    <w:uiPriority w:val="99"/>
    <w:semiHidden/>
    <w:unhideWhenUsed/>
    <w:rsid w:val="00B54D86"/>
    <w:rPr>
      <w:vertAlign w:val="superscript"/>
    </w:rPr>
  </w:style>
  <w:style w:type="paragraph" w:styleId="af9">
    <w:name w:val="Body Text"/>
    <w:basedOn w:val="a"/>
    <w:link w:val="Char8"/>
    <w:rsid w:val="000C5DCE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Char8">
    <w:name w:val="正文文本 Char"/>
    <w:basedOn w:val="a0"/>
    <w:link w:val="af9"/>
    <w:rsid w:val="000C5DCE"/>
    <w:rPr>
      <w:rFonts w:ascii="Times New Roman" w:hAnsi="Times New Roman" w:cs="Simplified Arabic"/>
      <w:sz w:val="24"/>
      <w:szCs w:val="24"/>
      <w:lang w:val="en-GB" w:eastAsia="en-GB" w:bidi="ar-AE"/>
    </w:rPr>
  </w:style>
  <w:style w:type="character" w:styleId="afa">
    <w:name w:val="Hyperlink"/>
    <w:basedOn w:val="a0"/>
    <w:uiPriority w:val="99"/>
    <w:unhideWhenUsed/>
    <w:rsid w:val="00CC26B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C2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ventinternational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461470C-5514-4F3C-937D-1666B9720FC4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附件二、</vt:lpstr>
    </vt:vector>
  </TitlesOfParts>
  <Company/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附件二、</dc:title>
  <dc:creator>dell</dc:creator>
  <cp:lastModifiedBy>Fangda Antitrust</cp:lastModifiedBy>
  <cp:revision>37</cp:revision>
  <dcterms:created xsi:type="dcterms:W3CDTF">2024-12-19T10:50:00Z</dcterms:created>
  <dcterms:modified xsi:type="dcterms:W3CDTF">2025-03-13T06:25:00Z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DPWPathText">
    <vt:lpwstr>#97717177v5</vt:lpwstr>
  </property>
  <property fmtid="{D5CDD505-2E9C-101B-9397-08002B2CF9AE}" pid="4" name="NRT_DocNumber">
    <vt:lpwstr/>
  </property>
  <property fmtid="{D5CDD505-2E9C-101B-9397-08002B2CF9AE}" pid="5" name="NRT_DocVersion">
    <vt:lpwstr/>
  </property>
  <property fmtid="{D5CDD505-2E9C-101B-9397-08002B2CF9AE}" pid="6" name="NRT_DocName">
    <vt:lpwstr/>
  </property>
  <property fmtid="{D5CDD505-2E9C-101B-9397-08002B2CF9AE}" pid="7" name="NRT_AuthorDescription">
    <vt:lpwstr/>
  </property>
  <property fmtid="{D5CDD505-2E9C-101B-9397-08002B2CF9AE}" pid="8" name="NRT_Author">
    <vt:lpwstr/>
  </property>
  <property fmtid="{D5CDD505-2E9C-101B-9397-08002B2CF9AE}" pid="9" name="NRT_Operator">
    <vt:lpwstr/>
  </property>
  <property fmtid="{D5CDD505-2E9C-101B-9397-08002B2CF9AE}" pid="10" name="NRT_Database">
    <vt:lpwstr/>
  </property>
  <property fmtid="{D5CDD505-2E9C-101B-9397-08002B2CF9AE}" pid="11" name="NRT_ELITE_CLIENT">
    <vt:lpwstr/>
  </property>
  <property fmtid="{D5CDD505-2E9C-101B-9397-08002B2CF9AE}" pid="12" name="NRT_ELITE_MATTER">
    <vt:lpwstr/>
  </property>
  <property fmtid="{D5CDD505-2E9C-101B-9397-08002B2CF9AE}" pid="13" name="pDocRef">
    <vt:lpwstr/>
  </property>
  <property fmtid="{D5CDD505-2E9C-101B-9397-08002B2CF9AE}" pid="14" name="pDocNumber">
    <vt:lpwstr/>
  </property>
</Properties>
</file>