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9049E" w14:textId="77777777" w:rsidR="00FC735A" w:rsidRPr="00630684" w:rsidRDefault="00FC735A" w:rsidP="00FC735A">
      <w:pPr>
        <w:widowControl w:val="0"/>
        <w:adjustRightInd w:val="0"/>
        <w:snapToGrid w:val="0"/>
        <w:spacing w:after="120"/>
        <w:jc w:val="center"/>
        <w:rPr>
          <w:rFonts w:ascii="黑体" w:eastAsia="黑体" w:hAnsi="黑体"/>
          <w:b/>
          <w:bCs/>
          <w:kern w:val="2"/>
          <w:sz w:val="36"/>
          <w:szCs w:val="36"/>
          <w:lang w:bidi="ar-SA"/>
        </w:rPr>
      </w:pPr>
      <w:r w:rsidRPr="00630684">
        <w:rPr>
          <w:rFonts w:ascii="黑体" w:eastAsia="黑体" w:hAnsi="黑体"/>
          <w:b/>
          <w:bCs/>
          <w:kern w:val="2"/>
          <w:sz w:val="36"/>
          <w:szCs w:val="36"/>
          <w:lang w:bidi="ar-SA"/>
        </w:rPr>
        <w:t>经营者集中简易案件公示表</w:t>
      </w:r>
    </w:p>
    <w:p w14:paraId="6DD52D1C" w14:textId="77777777" w:rsidR="00FC735A" w:rsidRPr="007F7180" w:rsidRDefault="00FC735A" w:rsidP="00FC735A">
      <w:pPr>
        <w:widowControl w:val="0"/>
        <w:adjustRightInd w:val="0"/>
        <w:snapToGrid w:val="0"/>
        <w:spacing w:after="120"/>
        <w:jc w:val="center"/>
        <w:rPr>
          <w:rFonts w:ascii="Times New Roman" w:eastAsia="宋体" w:hAnsi="Times New Roman"/>
          <w:b/>
          <w:bCs/>
          <w:kern w:val="2"/>
          <w:sz w:val="32"/>
          <w:szCs w:val="32"/>
          <w:lang w:bidi="ar-SA"/>
        </w:rPr>
      </w:pPr>
    </w:p>
    <w:tbl>
      <w:tblP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6"/>
        <w:gridCol w:w="2429"/>
        <w:gridCol w:w="4110"/>
      </w:tblGrid>
      <w:tr w:rsidR="00C03A66" w:rsidRPr="00AD54FA" w14:paraId="49EB5232" w14:textId="77777777" w:rsidTr="00CE283E">
        <w:tc>
          <w:tcPr>
            <w:tcW w:w="1736" w:type="dxa"/>
            <w:tcBorders>
              <w:top w:val="single" w:sz="4" w:space="0" w:color="auto"/>
              <w:left w:val="single" w:sz="4" w:space="0" w:color="auto"/>
              <w:bottom w:val="single" w:sz="4" w:space="0" w:color="auto"/>
              <w:right w:val="single" w:sz="4" w:space="0" w:color="auto"/>
            </w:tcBorders>
            <w:shd w:val="clear" w:color="auto" w:fill="D9D9D9"/>
            <w:hideMark/>
          </w:tcPr>
          <w:p w14:paraId="15A86B92" w14:textId="274CFA41" w:rsidR="00C03A66" w:rsidRPr="00AD54FA" w:rsidRDefault="00FC735A" w:rsidP="00D45D24">
            <w:pPr>
              <w:widowControl w:val="0"/>
              <w:adjustRightInd w:val="0"/>
              <w:snapToGrid w:val="0"/>
              <w:spacing w:after="120"/>
              <w:rPr>
                <w:rFonts w:ascii="Times New Roman" w:eastAsia="宋体" w:hAnsi="Times New Roman"/>
                <w:kern w:val="2"/>
                <w:sz w:val="24"/>
                <w:szCs w:val="24"/>
                <w:lang w:bidi="ar-SA"/>
              </w:rPr>
            </w:pPr>
            <w:r w:rsidRPr="00AD54FA">
              <w:rPr>
                <w:rFonts w:ascii="Times New Roman" w:eastAsia="宋体" w:hAnsi="Times New Roman"/>
                <w:kern w:val="2"/>
                <w:sz w:val="24"/>
                <w:szCs w:val="24"/>
                <w:lang w:bidi="ar-SA"/>
              </w:rPr>
              <w:t>交易名称</w:t>
            </w:r>
          </w:p>
        </w:tc>
        <w:tc>
          <w:tcPr>
            <w:tcW w:w="6539" w:type="dxa"/>
            <w:gridSpan w:val="2"/>
            <w:tcBorders>
              <w:top w:val="single" w:sz="4" w:space="0" w:color="auto"/>
              <w:left w:val="single" w:sz="4" w:space="0" w:color="auto"/>
              <w:bottom w:val="single" w:sz="4" w:space="0" w:color="auto"/>
              <w:right w:val="single" w:sz="4" w:space="0" w:color="auto"/>
            </w:tcBorders>
          </w:tcPr>
          <w:p w14:paraId="79338E69" w14:textId="196AC5CD" w:rsidR="00C03A66" w:rsidRPr="00AD54FA" w:rsidRDefault="00FC735A" w:rsidP="006A15A8">
            <w:pPr>
              <w:pStyle w:val="BodyText"/>
              <w:adjustRightInd w:val="0"/>
              <w:snapToGrid w:val="0"/>
              <w:spacing w:after="120"/>
              <w:rPr>
                <w:rFonts w:eastAsia="宋体" w:cs="Times New Roman"/>
                <w:lang w:eastAsia="zh-CN" w:bidi="ar-SA"/>
              </w:rPr>
            </w:pPr>
            <w:r w:rsidRPr="00AD54FA">
              <w:rPr>
                <w:rFonts w:eastAsia="宋体" w:cs="Times New Roman"/>
                <w:kern w:val="2"/>
                <w:lang w:val="en-US" w:eastAsia="zh-CN" w:bidi="ar-SA"/>
              </w:rPr>
              <w:t>三菱商事株式会社收购</w:t>
            </w:r>
            <w:r w:rsidRPr="00AD54FA">
              <w:rPr>
                <w:rFonts w:eastAsia="宋体" w:cs="Times New Roman"/>
                <w:kern w:val="2"/>
                <w:lang w:val="en-US" w:eastAsia="zh-CN" w:bidi="ar-SA"/>
              </w:rPr>
              <w:t>AC</w:t>
            </w:r>
            <w:r w:rsidRPr="00AD54FA">
              <w:rPr>
                <w:rFonts w:eastAsia="宋体" w:cs="Times New Roman"/>
                <w:kern w:val="2"/>
                <w:lang w:val="en-US" w:eastAsia="zh-CN" w:bidi="ar-SA"/>
              </w:rPr>
              <w:t>风险投资控股公司股权案</w:t>
            </w:r>
          </w:p>
        </w:tc>
      </w:tr>
      <w:tr w:rsidR="00C03A66" w:rsidRPr="00AD54FA" w14:paraId="132428D4" w14:textId="77777777" w:rsidTr="00CE283E">
        <w:trPr>
          <w:trHeight w:val="993"/>
        </w:trPr>
        <w:tc>
          <w:tcPr>
            <w:tcW w:w="1736" w:type="dxa"/>
            <w:tcBorders>
              <w:top w:val="single" w:sz="4" w:space="0" w:color="auto"/>
              <w:left w:val="single" w:sz="4" w:space="0" w:color="auto"/>
              <w:bottom w:val="single" w:sz="4" w:space="0" w:color="auto"/>
              <w:right w:val="single" w:sz="4" w:space="0" w:color="auto"/>
            </w:tcBorders>
            <w:shd w:val="clear" w:color="auto" w:fill="D9D9D9"/>
            <w:hideMark/>
          </w:tcPr>
          <w:p w14:paraId="63BD3256" w14:textId="746EC081" w:rsidR="00C03A66" w:rsidRPr="00AD54FA" w:rsidRDefault="00FC735A" w:rsidP="00D45D24">
            <w:pPr>
              <w:widowControl w:val="0"/>
              <w:adjustRightInd w:val="0"/>
              <w:snapToGrid w:val="0"/>
              <w:spacing w:after="120"/>
              <w:rPr>
                <w:rFonts w:ascii="Times New Roman" w:eastAsia="宋体" w:hAnsi="Times New Roman"/>
                <w:kern w:val="2"/>
                <w:sz w:val="24"/>
                <w:szCs w:val="24"/>
                <w:lang w:bidi="ar-SA"/>
              </w:rPr>
            </w:pPr>
            <w:r w:rsidRPr="00AD54FA">
              <w:rPr>
                <w:rFonts w:ascii="Times New Roman" w:eastAsia="宋体" w:hAnsi="Times New Roman"/>
                <w:bCs/>
                <w:kern w:val="2"/>
                <w:sz w:val="24"/>
                <w:szCs w:val="24"/>
                <w:lang w:val="en-GB" w:bidi="ar-SA"/>
              </w:rPr>
              <w:t>交易概况（限</w:t>
            </w:r>
            <w:r w:rsidRPr="00AD54FA">
              <w:rPr>
                <w:rFonts w:ascii="Times New Roman" w:eastAsia="宋体" w:hAnsi="Times New Roman"/>
                <w:bCs/>
                <w:kern w:val="2"/>
                <w:sz w:val="24"/>
                <w:szCs w:val="24"/>
                <w:lang w:val="en-GB" w:bidi="ar-SA"/>
              </w:rPr>
              <w:t>200</w:t>
            </w:r>
            <w:r w:rsidRPr="00AD54FA">
              <w:rPr>
                <w:rFonts w:ascii="Times New Roman" w:eastAsia="宋体" w:hAnsi="Times New Roman"/>
                <w:bCs/>
                <w:kern w:val="2"/>
                <w:sz w:val="24"/>
                <w:szCs w:val="24"/>
                <w:lang w:val="en-GB" w:bidi="ar-SA"/>
              </w:rPr>
              <w:t>字内）</w:t>
            </w:r>
          </w:p>
        </w:tc>
        <w:tc>
          <w:tcPr>
            <w:tcW w:w="6539" w:type="dxa"/>
            <w:gridSpan w:val="2"/>
            <w:tcBorders>
              <w:top w:val="single" w:sz="4" w:space="0" w:color="auto"/>
              <w:left w:val="single" w:sz="4" w:space="0" w:color="auto"/>
              <w:bottom w:val="single" w:sz="4" w:space="0" w:color="auto"/>
              <w:right w:val="single" w:sz="4" w:space="0" w:color="auto"/>
            </w:tcBorders>
          </w:tcPr>
          <w:p w14:paraId="6C40F5D7" w14:textId="0457666C" w:rsidR="00C03A66" w:rsidRPr="00AD54FA" w:rsidRDefault="00114F01" w:rsidP="00AD54FA">
            <w:pPr>
              <w:pStyle w:val="TableParagraph"/>
              <w:tabs>
                <w:tab w:val="left" w:pos="1685"/>
                <w:tab w:val="left" w:pos="2630"/>
              </w:tabs>
              <w:rPr>
                <w:rFonts w:ascii="Times New Roman" w:eastAsia="宋体" w:hAnsi="Times New Roman" w:cs="Times New Roman"/>
                <w:kern w:val="2"/>
                <w:sz w:val="24"/>
                <w:szCs w:val="24"/>
              </w:rPr>
            </w:pPr>
            <w:r w:rsidRPr="00AD54FA">
              <w:rPr>
                <w:rFonts w:ascii="Times New Roman" w:eastAsia="宋体" w:hAnsi="Times New Roman" w:cs="Times New Roman"/>
                <w:bCs/>
                <w:sz w:val="24"/>
                <w:szCs w:val="24"/>
              </w:rPr>
              <w:t>三菱商事株式会社</w:t>
            </w:r>
            <w:r w:rsidRPr="0017373E">
              <w:rPr>
                <w:rFonts w:ascii="Times New Roman" w:eastAsia="宋体" w:hAnsi="Times New Roman" w:cs="Times New Roman" w:hint="eastAsia"/>
                <w:bCs/>
                <w:sz w:val="24"/>
                <w:szCs w:val="24"/>
              </w:rPr>
              <w:t>（</w:t>
            </w:r>
            <w:r>
              <w:rPr>
                <w:rFonts w:ascii="Times New Roman" w:eastAsia="宋体" w:hAnsi="Times New Roman" w:cs="Times New Roman" w:hint="eastAsia"/>
                <w:bCs/>
                <w:sz w:val="24"/>
                <w:szCs w:val="24"/>
              </w:rPr>
              <w:t>“</w:t>
            </w:r>
            <w:r w:rsidRPr="000A587C">
              <w:rPr>
                <w:rFonts w:ascii="Times New Roman" w:eastAsia="宋体" w:hAnsi="Times New Roman" w:cs="Times New Roman"/>
                <w:b/>
                <w:sz w:val="24"/>
                <w:szCs w:val="24"/>
              </w:rPr>
              <w:t>三菱商事</w:t>
            </w:r>
            <w:r>
              <w:rPr>
                <w:rFonts w:ascii="Times New Roman" w:eastAsia="宋体" w:hAnsi="Times New Roman" w:cs="Times New Roman" w:hint="eastAsia"/>
                <w:bCs/>
                <w:sz w:val="24"/>
                <w:szCs w:val="24"/>
              </w:rPr>
              <w:t>”</w:t>
            </w:r>
            <w:r w:rsidRPr="0017373E">
              <w:rPr>
                <w:rFonts w:ascii="Times New Roman" w:eastAsia="宋体" w:hAnsi="Times New Roman" w:cs="Times New Roman" w:hint="eastAsia"/>
                <w:bCs/>
                <w:sz w:val="24"/>
                <w:szCs w:val="24"/>
              </w:rPr>
              <w:t>）</w:t>
            </w:r>
            <w:r w:rsidRPr="000A587C">
              <w:rPr>
                <w:rFonts w:ascii="Times New Roman" w:eastAsia="宋体" w:hAnsi="Times New Roman" w:cs="Times New Roman"/>
                <w:bCs/>
                <w:sz w:val="24"/>
                <w:szCs w:val="24"/>
              </w:rPr>
              <w:t>，</w:t>
            </w:r>
            <w:r w:rsidRPr="00AD54FA">
              <w:rPr>
                <w:rFonts w:ascii="Times New Roman" w:eastAsia="宋体" w:hAnsi="Times New Roman" w:cs="Times New Roman"/>
                <w:bCs/>
                <w:sz w:val="24"/>
                <w:szCs w:val="24"/>
              </w:rPr>
              <w:t>阿亚拉公司</w:t>
            </w:r>
            <w:r w:rsidRPr="0017373E">
              <w:rPr>
                <w:rFonts w:ascii="Times New Roman" w:eastAsia="宋体" w:hAnsi="Times New Roman" w:cs="Times New Roman" w:hint="eastAsia"/>
                <w:bCs/>
                <w:sz w:val="24"/>
                <w:szCs w:val="24"/>
              </w:rPr>
              <w:t>（</w:t>
            </w:r>
            <w:r>
              <w:rPr>
                <w:rFonts w:ascii="Times New Roman" w:eastAsia="宋体" w:hAnsi="Times New Roman" w:cs="Times New Roman" w:hint="eastAsia"/>
                <w:bCs/>
                <w:sz w:val="24"/>
                <w:szCs w:val="24"/>
              </w:rPr>
              <w:t>“</w:t>
            </w:r>
            <w:r w:rsidRPr="000A587C">
              <w:rPr>
                <w:rFonts w:ascii="Times New Roman" w:eastAsia="宋体" w:hAnsi="Times New Roman" w:cs="Times New Roman"/>
                <w:b/>
                <w:sz w:val="24"/>
                <w:szCs w:val="24"/>
              </w:rPr>
              <w:t>阿亚拉</w:t>
            </w:r>
            <w:r>
              <w:rPr>
                <w:rFonts w:ascii="Times New Roman" w:eastAsia="宋体" w:hAnsi="Times New Roman" w:cs="Times New Roman" w:hint="eastAsia"/>
                <w:bCs/>
                <w:sz w:val="24"/>
                <w:szCs w:val="24"/>
              </w:rPr>
              <w:t>”</w:t>
            </w:r>
            <w:r w:rsidRPr="0017373E">
              <w:rPr>
                <w:rFonts w:ascii="Times New Roman" w:eastAsia="宋体" w:hAnsi="Times New Roman" w:cs="Times New Roman" w:hint="eastAsia"/>
                <w:bCs/>
                <w:sz w:val="24"/>
                <w:szCs w:val="24"/>
              </w:rPr>
              <w:t>）</w:t>
            </w:r>
            <w:r w:rsidRPr="00AD54FA">
              <w:rPr>
                <w:rFonts w:ascii="Times New Roman" w:eastAsia="宋体" w:hAnsi="Times New Roman" w:cs="Times New Roman"/>
                <w:bCs/>
                <w:sz w:val="24"/>
                <w:szCs w:val="24"/>
              </w:rPr>
              <w:t>和</w:t>
            </w:r>
            <w:r w:rsidRPr="00AD54FA">
              <w:rPr>
                <w:rFonts w:ascii="Times New Roman" w:eastAsia="宋体" w:hAnsi="Times New Roman" w:cs="Times New Roman"/>
                <w:bCs/>
                <w:sz w:val="24"/>
                <w:szCs w:val="24"/>
              </w:rPr>
              <w:t>AC</w:t>
            </w:r>
            <w:r w:rsidRPr="00AD54FA">
              <w:rPr>
                <w:rFonts w:ascii="Times New Roman" w:eastAsia="宋体" w:hAnsi="Times New Roman" w:cs="Times New Roman"/>
                <w:bCs/>
                <w:sz w:val="24"/>
                <w:szCs w:val="24"/>
              </w:rPr>
              <w:t>风险投资控股公司</w:t>
            </w:r>
            <w:r w:rsidRPr="0017373E">
              <w:rPr>
                <w:rFonts w:ascii="Times New Roman" w:eastAsia="宋体" w:hAnsi="Times New Roman" w:cs="Times New Roman" w:hint="eastAsia"/>
                <w:bCs/>
                <w:sz w:val="24"/>
                <w:szCs w:val="24"/>
              </w:rPr>
              <w:t>（</w:t>
            </w:r>
            <w:r>
              <w:rPr>
                <w:rFonts w:ascii="Times New Roman" w:eastAsia="宋体" w:hAnsi="Times New Roman" w:cs="Times New Roman" w:hint="eastAsia"/>
                <w:bCs/>
                <w:sz w:val="24"/>
                <w:szCs w:val="24"/>
              </w:rPr>
              <w:t>“</w:t>
            </w:r>
            <w:r w:rsidRPr="000A587C">
              <w:rPr>
                <w:rFonts w:ascii="Times New Roman" w:eastAsia="宋体" w:hAnsi="Times New Roman" w:cs="Times New Roman"/>
                <w:b/>
                <w:sz w:val="24"/>
                <w:szCs w:val="24"/>
              </w:rPr>
              <w:t>AC</w:t>
            </w:r>
            <w:r w:rsidRPr="000A587C">
              <w:rPr>
                <w:rFonts w:ascii="Times New Roman" w:eastAsia="宋体" w:hAnsi="Times New Roman" w:cs="Times New Roman"/>
                <w:b/>
                <w:sz w:val="24"/>
                <w:szCs w:val="24"/>
              </w:rPr>
              <w:t>风险投资</w:t>
            </w:r>
            <w:r>
              <w:rPr>
                <w:rFonts w:ascii="Times New Roman" w:eastAsia="宋体" w:hAnsi="Times New Roman" w:cs="Times New Roman" w:hint="eastAsia"/>
                <w:bCs/>
                <w:sz w:val="24"/>
                <w:szCs w:val="24"/>
              </w:rPr>
              <w:t>”</w:t>
            </w:r>
            <w:r w:rsidRPr="0017373E">
              <w:rPr>
                <w:rFonts w:ascii="Times New Roman" w:eastAsia="宋体" w:hAnsi="Times New Roman" w:cs="Times New Roman" w:hint="eastAsia"/>
                <w:bCs/>
                <w:sz w:val="24"/>
                <w:szCs w:val="24"/>
              </w:rPr>
              <w:t>）</w:t>
            </w:r>
            <w:r w:rsidRPr="00AD54FA">
              <w:rPr>
                <w:rFonts w:ascii="Times New Roman" w:eastAsia="宋体" w:hAnsi="Times New Roman" w:cs="Times New Roman"/>
                <w:bCs/>
                <w:sz w:val="24"/>
                <w:szCs w:val="24"/>
              </w:rPr>
              <w:t>签署协议，三菱</w:t>
            </w:r>
            <w:proofErr w:type="gramStart"/>
            <w:r w:rsidRPr="00AD54FA">
              <w:rPr>
                <w:rFonts w:ascii="Times New Roman" w:eastAsia="宋体" w:hAnsi="Times New Roman" w:cs="Times New Roman"/>
                <w:bCs/>
                <w:sz w:val="24"/>
                <w:szCs w:val="24"/>
              </w:rPr>
              <w:t>商事</w:t>
            </w:r>
            <w:r>
              <w:rPr>
                <w:rFonts w:ascii="Times New Roman" w:eastAsia="宋体" w:hAnsi="Times New Roman" w:cs="Times New Roman" w:hint="eastAsia"/>
                <w:bCs/>
                <w:sz w:val="24"/>
                <w:szCs w:val="24"/>
              </w:rPr>
              <w:t>拟</w:t>
            </w:r>
            <w:r w:rsidRPr="00AD54FA">
              <w:rPr>
                <w:rFonts w:ascii="Times New Roman" w:eastAsia="宋体" w:hAnsi="Times New Roman" w:cs="Times New Roman"/>
                <w:bCs/>
                <w:sz w:val="24"/>
                <w:szCs w:val="24"/>
              </w:rPr>
              <w:t>收购</w:t>
            </w:r>
            <w:proofErr w:type="gramEnd"/>
            <w:r w:rsidRPr="00AD54FA">
              <w:rPr>
                <w:rFonts w:ascii="Times New Roman" w:eastAsia="宋体" w:hAnsi="Times New Roman" w:cs="Times New Roman"/>
                <w:bCs/>
                <w:sz w:val="24"/>
                <w:szCs w:val="24"/>
              </w:rPr>
              <w:t>AC</w:t>
            </w:r>
            <w:r w:rsidRPr="00AD54FA">
              <w:rPr>
                <w:rFonts w:ascii="Times New Roman" w:eastAsia="宋体" w:hAnsi="Times New Roman" w:cs="Times New Roman"/>
                <w:bCs/>
                <w:sz w:val="24"/>
                <w:szCs w:val="24"/>
              </w:rPr>
              <w:t>风险投资</w:t>
            </w:r>
            <w:r w:rsidRPr="00AD54FA">
              <w:rPr>
                <w:rFonts w:ascii="Times New Roman" w:eastAsia="宋体" w:hAnsi="Times New Roman" w:cs="Times New Roman"/>
                <w:bCs/>
                <w:sz w:val="24"/>
                <w:szCs w:val="24"/>
              </w:rPr>
              <w:t>50%</w:t>
            </w:r>
            <w:r w:rsidRPr="00AD54FA">
              <w:rPr>
                <w:rFonts w:ascii="Times New Roman" w:eastAsia="宋体" w:hAnsi="Times New Roman" w:cs="Times New Roman"/>
                <w:bCs/>
                <w:sz w:val="24"/>
                <w:szCs w:val="24"/>
              </w:rPr>
              <w:t>的股权。</w:t>
            </w:r>
            <w:r w:rsidRPr="00AD54FA">
              <w:rPr>
                <w:rFonts w:ascii="Times New Roman" w:eastAsia="宋体" w:hAnsi="Times New Roman" w:cs="Times New Roman"/>
                <w:bCs/>
                <w:sz w:val="24"/>
                <w:szCs w:val="24"/>
              </w:rPr>
              <w:t>AC</w:t>
            </w:r>
            <w:r w:rsidRPr="00AD54FA">
              <w:rPr>
                <w:rFonts w:ascii="Times New Roman" w:eastAsia="宋体" w:hAnsi="Times New Roman" w:cs="Times New Roman"/>
                <w:bCs/>
                <w:sz w:val="24"/>
                <w:szCs w:val="24"/>
              </w:rPr>
              <w:t>风险投资是一家菲律宾</w:t>
            </w:r>
            <w:r w:rsidR="0064095B">
              <w:rPr>
                <w:rFonts w:ascii="Times New Roman" w:eastAsia="宋体" w:hAnsi="Times New Roman" w:cs="Times New Roman" w:hint="eastAsia"/>
                <w:bCs/>
                <w:sz w:val="24"/>
                <w:szCs w:val="24"/>
              </w:rPr>
              <w:t>投资</w:t>
            </w:r>
            <w:r w:rsidRPr="00AD54FA">
              <w:rPr>
                <w:rFonts w:ascii="Times New Roman" w:eastAsia="宋体" w:hAnsi="Times New Roman" w:cs="Times New Roman"/>
                <w:bCs/>
                <w:sz w:val="24"/>
                <w:szCs w:val="24"/>
              </w:rPr>
              <w:t>控股公司，其主要目的是</w:t>
            </w:r>
            <w:r w:rsidR="0064095B">
              <w:rPr>
                <w:rFonts w:ascii="Times New Roman" w:eastAsia="宋体" w:hAnsi="Times New Roman" w:cs="Times New Roman" w:hint="eastAsia"/>
                <w:bCs/>
                <w:sz w:val="24"/>
                <w:szCs w:val="24"/>
              </w:rPr>
              <w:t>从事</w:t>
            </w:r>
            <w:r w:rsidRPr="00AD54FA">
              <w:rPr>
                <w:rFonts w:ascii="Times New Roman" w:eastAsia="宋体" w:hAnsi="Times New Roman" w:cs="Times New Roman"/>
                <w:bCs/>
                <w:sz w:val="24"/>
                <w:szCs w:val="24"/>
              </w:rPr>
              <w:t>、持有和管理股权投资。</w:t>
            </w:r>
            <w:r>
              <w:rPr>
                <w:rFonts w:ascii="Times New Roman" w:eastAsia="宋体" w:hAnsi="Times New Roman" w:cs="Times New Roman" w:hint="eastAsia"/>
                <w:bCs/>
                <w:sz w:val="24"/>
                <w:szCs w:val="24"/>
              </w:rPr>
              <w:t>本</w:t>
            </w:r>
            <w:r w:rsidRPr="00AD54FA">
              <w:rPr>
                <w:rFonts w:ascii="Times New Roman" w:eastAsia="宋体" w:hAnsi="Times New Roman" w:cs="Times New Roman"/>
                <w:bCs/>
                <w:sz w:val="24"/>
                <w:szCs w:val="24"/>
              </w:rPr>
              <w:t>交易前，阿亚拉全资持有并单独控制</w:t>
            </w:r>
            <w:r w:rsidRPr="00AD54FA">
              <w:rPr>
                <w:rFonts w:ascii="Times New Roman" w:eastAsia="宋体" w:hAnsi="Times New Roman" w:cs="Times New Roman"/>
                <w:bCs/>
                <w:sz w:val="24"/>
                <w:szCs w:val="24"/>
              </w:rPr>
              <w:t>AC</w:t>
            </w:r>
            <w:r w:rsidRPr="00AD54FA">
              <w:rPr>
                <w:rFonts w:ascii="Times New Roman" w:eastAsia="宋体" w:hAnsi="Times New Roman" w:cs="Times New Roman"/>
                <w:bCs/>
                <w:sz w:val="24"/>
                <w:szCs w:val="24"/>
              </w:rPr>
              <w:t>风险投资。</w:t>
            </w:r>
            <w:r>
              <w:rPr>
                <w:rFonts w:ascii="Times New Roman" w:eastAsia="宋体" w:hAnsi="Times New Roman" w:cs="Times New Roman" w:hint="eastAsia"/>
                <w:bCs/>
                <w:sz w:val="24"/>
                <w:szCs w:val="24"/>
              </w:rPr>
              <w:t>本</w:t>
            </w:r>
            <w:r w:rsidRPr="00AD54FA">
              <w:rPr>
                <w:rFonts w:ascii="Times New Roman" w:eastAsia="宋体" w:hAnsi="Times New Roman" w:cs="Times New Roman"/>
                <w:bCs/>
                <w:sz w:val="24"/>
                <w:szCs w:val="24"/>
              </w:rPr>
              <w:t>交易完成后，三菱商事和阿亚拉将各持有</w:t>
            </w:r>
            <w:r w:rsidRPr="00AD54FA">
              <w:rPr>
                <w:rFonts w:ascii="Times New Roman" w:eastAsia="宋体" w:hAnsi="Times New Roman" w:cs="Times New Roman"/>
                <w:bCs/>
                <w:sz w:val="24"/>
                <w:szCs w:val="24"/>
              </w:rPr>
              <w:t>AC</w:t>
            </w:r>
            <w:r w:rsidRPr="00AD54FA">
              <w:rPr>
                <w:rFonts w:ascii="Times New Roman" w:eastAsia="宋体" w:hAnsi="Times New Roman" w:cs="Times New Roman"/>
                <w:bCs/>
                <w:sz w:val="24"/>
                <w:szCs w:val="24"/>
              </w:rPr>
              <w:t>风险投资</w:t>
            </w:r>
            <w:r w:rsidRPr="00AD54FA">
              <w:rPr>
                <w:rFonts w:ascii="Times New Roman" w:eastAsia="宋体" w:hAnsi="Times New Roman" w:cs="Times New Roman"/>
                <w:bCs/>
                <w:sz w:val="24"/>
                <w:szCs w:val="24"/>
              </w:rPr>
              <w:t>50%</w:t>
            </w:r>
            <w:r w:rsidRPr="00AD54FA">
              <w:rPr>
                <w:rFonts w:ascii="Times New Roman" w:eastAsia="宋体" w:hAnsi="Times New Roman" w:cs="Times New Roman"/>
                <w:bCs/>
                <w:sz w:val="24"/>
                <w:szCs w:val="24"/>
              </w:rPr>
              <w:t>的</w:t>
            </w:r>
            <w:r>
              <w:rPr>
                <w:rFonts w:ascii="Times New Roman" w:eastAsia="宋体" w:hAnsi="Times New Roman" w:cs="Times New Roman" w:hint="eastAsia"/>
                <w:bCs/>
                <w:sz w:val="24"/>
                <w:szCs w:val="24"/>
              </w:rPr>
              <w:t>股权</w:t>
            </w:r>
            <w:r w:rsidRPr="00AD54FA">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并且</w:t>
            </w:r>
            <w:r w:rsidRPr="00AD54FA">
              <w:rPr>
                <w:rFonts w:ascii="Times New Roman" w:eastAsia="宋体" w:hAnsi="Times New Roman" w:cs="Times New Roman"/>
                <w:bCs/>
                <w:sz w:val="24"/>
                <w:szCs w:val="24"/>
              </w:rPr>
              <w:t>共同控制</w:t>
            </w:r>
            <w:r w:rsidRPr="00AD54FA">
              <w:rPr>
                <w:rFonts w:ascii="Times New Roman" w:eastAsia="宋体" w:hAnsi="Times New Roman" w:cs="Times New Roman"/>
                <w:bCs/>
                <w:sz w:val="24"/>
                <w:szCs w:val="24"/>
              </w:rPr>
              <w:t>AC</w:t>
            </w:r>
            <w:r w:rsidRPr="00AD54FA">
              <w:rPr>
                <w:rFonts w:ascii="Times New Roman" w:eastAsia="宋体" w:hAnsi="Times New Roman" w:cs="Times New Roman"/>
                <w:bCs/>
                <w:sz w:val="24"/>
                <w:szCs w:val="24"/>
              </w:rPr>
              <w:t>风险投资。</w:t>
            </w:r>
          </w:p>
        </w:tc>
      </w:tr>
      <w:tr w:rsidR="00C03A66" w:rsidRPr="00AD54FA" w14:paraId="5E6EDBF5" w14:textId="77777777" w:rsidTr="00CE283E">
        <w:trPr>
          <w:trHeight w:val="468"/>
        </w:trPr>
        <w:tc>
          <w:tcPr>
            <w:tcW w:w="1736" w:type="dxa"/>
            <w:vMerge w:val="restart"/>
            <w:tcBorders>
              <w:top w:val="single" w:sz="4" w:space="0" w:color="auto"/>
              <w:left w:val="single" w:sz="4" w:space="0" w:color="auto"/>
              <w:bottom w:val="single" w:sz="4" w:space="0" w:color="auto"/>
              <w:right w:val="single" w:sz="4" w:space="0" w:color="auto"/>
            </w:tcBorders>
            <w:shd w:val="clear" w:color="auto" w:fill="D9D9D9"/>
            <w:hideMark/>
          </w:tcPr>
          <w:p w14:paraId="6D3EF9E5" w14:textId="1903A8EC" w:rsidR="00C03A66" w:rsidRPr="00AD54FA" w:rsidRDefault="00FC735A" w:rsidP="00D45D24">
            <w:pPr>
              <w:widowControl w:val="0"/>
              <w:adjustRightInd w:val="0"/>
              <w:snapToGrid w:val="0"/>
              <w:spacing w:after="120"/>
              <w:rPr>
                <w:rFonts w:ascii="Times New Roman" w:eastAsia="宋体" w:hAnsi="Times New Roman"/>
                <w:kern w:val="2"/>
                <w:sz w:val="24"/>
                <w:szCs w:val="24"/>
                <w:lang w:bidi="ar-SA"/>
              </w:rPr>
            </w:pPr>
            <w:r w:rsidRPr="00AD54FA">
              <w:rPr>
                <w:rFonts w:ascii="Times New Roman" w:eastAsia="宋体" w:hAnsi="Times New Roman"/>
                <w:kern w:val="2"/>
                <w:sz w:val="24"/>
                <w:szCs w:val="24"/>
                <w:lang w:bidi="ar-SA"/>
              </w:rPr>
              <w:t>参与集中的经营者简介</w:t>
            </w:r>
          </w:p>
        </w:tc>
        <w:tc>
          <w:tcPr>
            <w:tcW w:w="2429" w:type="dxa"/>
            <w:tcBorders>
              <w:top w:val="single" w:sz="4" w:space="0" w:color="auto"/>
              <w:left w:val="single" w:sz="4" w:space="0" w:color="auto"/>
              <w:bottom w:val="single" w:sz="4" w:space="0" w:color="auto"/>
              <w:right w:val="single" w:sz="4" w:space="0" w:color="auto"/>
            </w:tcBorders>
          </w:tcPr>
          <w:p w14:paraId="2405BED4" w14:textId="2B0B8712" w:rsidR="00C03A66" w:rsidRPr="00AD54FA" w:rsidRDefault="00AB6510" w:rsidP="00D45D24">
            <w:pPr>
              <w:widowControl w:val="0"/>
              <w:adjustRightInd w:val="0"/>
              <w:snapToGrid w:val="0"/>
              <w:spacing w:after="120"/>
              <w:rPr>
                <w:rFonts w:ascii="Times New Roman" w:eastAsia="宋体" w:hAnsi="Times New Roman"/>
                <w:kern w:val="2"/>
                <w:sz w:val="24"/>
                <w:szCs w:val="24"/>
                <w:lang w:bidi="ar-SA"/>
              </w:rPr>
            </w:pPr>
            <w:r w:rsidRPr="00AD54FA">
              <w:rPr>
                <w:rFonts w:ascii="Times New Roman" w:eastAsia="宋体" w:hAnsi="Times New Roman"/>
                <w:kern w:val="2"/>
                <w:sz w:val="24"/>
                <w:szCs w:val="24"/>
                <w:lang w:bidi="ar-SA"/>
              </w:rPr>
              <w:t xml:space="preserve">1. </w:t>
            </w:r>
            <w:r w:rsidR="00FC735A" w:rsidRPr="00AD54FA">
              <w:rPr>
                <w:rFonts w:ascii="Times New Roman" w:eastAsia="宋体" w:hAnsi="Times New Roman"/>
                <w:kern w:val="2"/>
                <w:sz w:val="24"/>
                <w:szCs w:val="24"/>
                <w:lang w:bidi="ar-SA"/>
              </w:rPr>
              <w:t>三菱商事</w:t>
            </w:r>
          </w:p>
        </w:tc>
        <w:tc>
          <w:tcPr>
            <w:tcW w:w="4110" w:type="dxa"/>
            <w:tcBorders>
              <w:top w:val="single" w:sz="4" w:space="0" w:color="auto"/>
              <w:left w:val="single" w:sz="4" w:space="0" w:color="auto"/>
              <w:bottom w:val="single" w:sz="4" w:space="0" w:color="auto"/>
              <w:right w:val="single" w:sz="4" w:space="0" w:color="auto"/>
            </w:tcBorders>
          </w:tcPr>
          <w:p w14:paraId="694A19B5" w14:textId="3A0432F2" w:rsidR="00FC735A" w:rsidRPr="00AD54FA" w:rsidRDefault="00FC735A" w:rsidP="00FC735A">
            <w:pPr>
              <w:widowControl w:val="0"/>
              <w:adjustRightInd w:val="0"/>
              <w:snapToGrid w:val="0"/>
              <w:spacing w:after="120"/>
              <w:rPr>
                <w:rFonts w:ascii="Times New Roman" w:eastAsia="宋体" w:hAnsi="Times New Roman"/>
                <w:bCs/>
                <w:kern w:val="2"/>
                <w:sz w:val="24"/>
                <w:szCs w:val="24"/>
                <w:lang w:bidi="ar-SA"/>
              </w:rPr>
            </w:pPr>
            <w:r w:rsidRPr="00AD54FA">
              <w:rPr>
                <w:rFonts w:ascii="Times New Roman" w:eastAsia="宋体" w:hAnsi="Times New Roman"/>
                <w:bCs/>
                <w:kern w:val="2"/>
                <w:sz w:val="24"/>
                <w:szCs w:val="24"/>
                <w:lang w:bidi="ar-SA"/>
              </w:rPr>
              <w:t>三菱商事于</w:t>
            </w:r>
            <w:r w:rsidRPr="00AD54FA">
              <w:rPr>
                <w:rFonts w:ascii="Times New Roman" w:eastAsia="宋体" w:hAnsi="Times New Roman"/>
                <w:bCs/>
                <w:kern w:val="2"/>
                <w:sz w:val="24"/>
                <w:szCs w:val="24"/>
                <w:lang w:bidi="ar-SA"/>
              </w:rPr>
              <w:t>1950</w:t>
            </w:r>
            <w:r w:rsidRPr="00AD54FA">
              <w:rPr>
                <w:rFonts w:ascii="Times New Roman" w:eastAsia="宋体" w:hAnsi="Times New Roman"/>
                <w:bCs/>
                <w:kern w:val="2"/>
                <w:sz w:val="24"/>
                <w:szCs w:val="24"/>
                <w:lang w:bidi="ar-SA"/>
              </w:rPr>
              <w:t>年</w:t>
            </w:r>
            <w:r w:rsidRPr="00AD54FA">
              <w:rPr>
                <w:rFonts w:ascii="Times New Roman" w:eastAsia="宋体" w:hAnsi="Times New Roman"/>
                <w:bCs/>
                <w:kern w:val="2"/>
                <w:sz w:val="24"/>
                <w:szCs w:val="24"/>
                <w:lang w:bidi="ar-SA"/>
              </w:rPr>
              <w:t>4</w:t>
            </w:r>
            <w:r w:rsidRPr="00AD54FA">
              <w:rPr>
                <w:rFonts w:ascii="Times New Roman" w:eastAsia="宋体" w:hAnsi="Times New Roman"/>
                <w:bCs/>
                <w:kern w:val="2"/>
                <w:sz w:val="24"/>
                <w:szCs w:val="24"/>
                <w:lang w:bidi="ar-SA"/>
              </w:rPr>
              <w:t>月</w:t>
            </w:r>
            <w:r w:rsidRPr="00AD54FA">
              <w:rPr>
                <w:rFonts w:ascii="Times New Roman" w:eastAsia="宋体" w:hAnsi="Times New Roman"/>
                <w:bCs/>
                <w:kern w:val="2"/>
                <w:sz w:val="24"/>
                <w:szCs w:val="24"/>
                <w:lang w:bidi="ar-SA"/>
              </w:rPr>
              <w:t>1</w:t>
            </w:r>
            <w:r w:rsidRPr="00AD54FA">
              <w:rPr>
                <w:rFonts w:ascii="Times New Roman" w:eastAsia="宋体" w:hAnsi="Times New Roman"/>
                <w:bCs/>
                <w:kern w:val="2"/>
                <w:sz w:val="24"/>
                <w:szCs w:val="24"/>
                <w:lang w:bidi="ar-SA"/>
              </w:rPr>
              <w:t>日在日本成立，在东京证券交易所上市。三菱商事是一家全球综合商业公司，业务涉及环境能源、材料解决方案、矿产资源、城市发展和基础设施、移动出行、食品产业、智能生活和能源解决方案。</w:t>
            </w:r>
          </w:p>
          <w:p w14:paraId="0B768F94" w14:textId="6BDDF479" w:rsidR="00AB6510" w:rsidRPr="00AD54FA" w:rsidRDefault="00FC735A" w:rsidP="00FC735A">
            <w:pPr>
              <w:widowControl w:val="0"/>
              <w:adjustRightInd w:val="0"/>
              <w:snapToGrid w:val="0"/>
              <w:spacing w:after="120"/>
              <w:rPr>
                <w:rFonts w:ascii="Times New Roman" w:eastAsia="宋体" w:hAnsi="Times New Roman"/>
                <w:bCs/>
                <w:kern w:val="2"/>
                <w:sz w:val="24"/>
                <w:szCs w:val="24"/>
                <w:lang w:bidi="ar-SA"/>
              </w:rPr>
            </w:pPr>
            <w:r w:rsidRPr="00AD54FA">
              <w:rPr>
                <w:rFonts w:ascii="Times New Roman" w:eastAsia="宋体" w:hAnsi="Times New Roman"/>
                <w:bCs/>
                <w:kern w:val="2"/>
                <w:sz w:val="24"/>
                <w:szCs w:val="24"/>
                <w:lang w:bidi="ar-SA"/>
              </w:rPr>
              <w:t>三菱商事</w:t>
            </w:r>
            <w:proofErr w:type="gramStart"/>
            <w:r w:rsidRPr="00AD54FA">
              <w:rPr>
                <w:rFonts w:ascii="Times New Roman" w:eastAsia="宋体" w:hAnsi="Times New Roman"/>
                <w:bCs/>
                <w:kern w:val="2"/>
                <w:sz w:val="24"/>
                <w:szCs w:val="24"/>
                <w:lang w:bidi="ar-SA"/>
              </w:rPr>
              <w:t>无最终</w:t>
            </w:r>
            <w:proofErr w:type="gramEnd"/>
            <w:r w:rsidRPr="00AD54FA">
              <w:rPr>
                <w:rFonts w:ascii="Times New Roman" w:eastAsia="宋体" w:hAnsi="Times New Roman"/>
                <w:bCs/>
                <w:kern w:val="2"/>
                <w:sz w:val="24"/>
                <w:szCs w:val="24"/>
                <w:lang w:bidi="ar-SA"/>
              </w:rPr>
              <w:t>控制人。</w:t>
            </w:r>
          </w:p>
        </w:tc>
      </w:tr>
      <w:tr w:rsidR="00AB6510" w:rsidRPr="00AD54FA" w14:paraId="4B43F18A" w14:textId="77777777" w:rsidTr="00CE283E">
        <w:trPr>
          <w:trHeight w:val="468"/>
        </w:trPr>
        <w:tc>
          <w:tcPr>
            <w:tcW w:w="1736" w:type="dxa"/>
            <w:vMerge/>
            <w:tcBorders>
              <w:top w:val="single" w:sz="4" w:space="0" w:color="auto"/>
              <w:left w:val="single" w:sz="4" w:space="0" w:color="auto"/>
              <w:bottom w:val="single" w:sz="4" w:space="0" w:color="auto"/>
              <w:right w:val="single" w:sz="4" w:space="0" w:color="auto"/>
            </w:tcBorders>
            <w:shd w:val="clear" w:color="auto" w:fill="D9D9D9"/>
          </w:tcPr>
          <w:p w14:paraId="6B01CCC7" w14:textId="77777777" w:rsidR="00AB6510" w:rsidRPr="00AD54FA" w:rsidRDefault="00AB6510" w:rsidP="00D45D24">
            <w:pPr>
              <w:widowControl w:val="0"/>
              <w:adjustRightInd w:val="0"/>
              <w:snapToGrid w:val="0"/>
              <w:spacing w:after="120"/>
              <w:rPr>
                <w:rFonts w:ascii="Times New Roman" w:eastAsia="宋体" w:hAnsi="Times New Roman"/>
                <w:kern w:val="2"/>
                <w:sz w:val="24"/>
                <w:szCs w:val="24"/>
                <w:lang w:bidi="ar-SA"/>
              </w:rPr>
            </w:pPr>
          </w:p>
        </w:tc>
        <w:tc>
          <w:tcPr>
            <w:tcW w:w="2429" w:type="dxa"/>
            <w:tcBorders>
              <w:top w:val="single" w:sz="4" w:space="0" w:color="auto"/>
              <w:left w:val="single" w:sz="4" w:space="0" w:color="auto"/>
              <w:bottom w:val="single" w:sz="4" w:space="0" w:color="auto"/>
              <w:right w:val="single" w:sz="4" w:space="0" w:color="auto"/>
            </w:tcBorders>
          </w:tcPr>
          <w:p w14:paraId="3F19D5C5" w14:textId="4EF5CD8D" w:rsidR="00AB6510" w:rsidRPr="00AD54FA" w:rsidRDefault="00D60B2D" w:rsidP="00D45D24">
            <w:pPr>
              <w:widowControl w:val="0"/>
              <w:adjustRightInd w:val="0"/>
              <w:snapToGrid w:val="0"/>
              <w:spacing w:after="120"/>
              <w:rPr>
                <w:rFonts w:ascii="Times New Roman" w:eastAsia="宋体" w:hAnsi="Times New Roman"/>
                <w:kern w:val="2"/>
                <w:sz w:val="24"/>
                <w:szCs w:val="24"/>
                <w:lang w:bidi="ar-SA"/>
              </w:rPr>
            </w:pPr>
            <w:r w:rsidRPr="00AD54FA">
              <w:rPr>
                <w:rFonts w:ascii="Times New Roman" w:eastAsia="宋体" w:hAnsi="Times New Roman"/>
                <w:kern w:val="2"/>
                <w:sz w:val="24"/>
                <w:szCs w:val="24"/>
                <w:lang w:bidi="ar-SA"/>
              </w:rPr>
              <w:t xml:space="preserve">2. </w:t>
            </w:r>
            <w:r w:rsidR="00FC735A" w:rsidRPr="00AD54FA">
              <w:rPr>
                <w:rFonts w:ascii="Times New Roman" w:eastAsia="宋体" w:hAnsi="Times New Roman"/>
                <w:kern w:val="2"/>
                <w:sz w:val="24"/>
                <w:szCs w:val="24"/>
                <w:lang w:bidi="ar-SA"/>
              </w:rPr>
              <w:t>阿亚拉</w:t>
            </w:r>
          </w:p>
        </w:tc>
        <w:tc>
          <w:tcPr>
            <w:tcW w:w="4110" w:type="dxa"/>
            <w:tcBorders>
              <w:top w:val="single" w:sz="4" w:space="0" w:color="auto"/>
              <w:left w:val="single" w:sz="4" w:space="0" w:color="auto"/>
              <w:bottom w:val="single" w:sz="4" w:space="0" w:color="auto"/>
              <w:right w:val="single" w:sz="4" w:space="0" w:color="auto"/>
            </w:tcBorders>
          </w:tcPr>
          <w:p w14:paraId="798B46BD" w14:textId="2F2B4A55" w:rsidR="00FC735A" w:rsidRPr="00AD54FA" w:rsidRDefault="00FC735A" w:rsidP="00FC735A">
            <w:pPr>
              <w:widowControl w:val="0"/>
              <w:adjustRightInd w:val="0"/>
              <w:snapToGrid w:val="0"/>
              <w:spacing w:after="120"/>
              <w:rPr>
                <w:rFonts w:ascii="Times New Roman" w:eastAsia="宋体" w:hAnsi="Times New Roman"/>
                <w:bCs/>
                <w:kern w:val="2"/>
                <w:sz w:val="24"/>
                <w:szCs w:val="24"/>
                <w:lang w:bidi="ar-SA"/>
              </w:rPr>
            </w:pPr>
            <w:r w:rsidRPr="00AD54FA">
              <w:rPr>
                <w:rFonts w:ascii="Times New Roman" w:eastAsia="宋体" w:hAnsi="Times New Roman"/>
                <w:bCs/>
                <w:kern w:val="2"/>
                <w:sz w:val="24"/>
                <w:szCs w:val="24"/>
                <w:lang w:bidi="ar-SA"/>
              </w:rPr>
              <w:t>阿亚拉于</w:t>
            </w:r>
            <w:r w:rsidRPr="00AD54FA">
              <w:rPr>
                <w:rFonts w:ascii="Times New Roman" w:eastAsia="宋体" w:hAnsi="Times New Roman"/>
                <w:bCs/>
                <w:kern w:val="2"/>
                <w:sz w:val="24"/>
                <w:szCs w:val="24"/>
                <w:lang w:bidi="ar-SA"/>
              </w:rPr>
              <w:t xml:space="preserve"> 1968 </w:t>
            </w:r>
            <w:r w:rsidRPr="00AD54FA">
              <w:rPr>
                <w:rFonts w:ascii="Times New Roman" w:eastAsia="宋体" w:hAnsi="Times New Roman"/>
                <w:bCs/>
                <w:kern w:val="2"/>
                <w:sz w:val="24"/>
                <w:szCs w:val="24"/>
                <w:lang w:bidi="ar-SA"/>
              </w:rPr>
              <w:t>年</w:t>
            </w:r>
            <w:r w:rsidRPr="00AD54FA">
              <w:rPr>
                <w:rFonts w:ascii="Times New Roman" w:eastAsia="宋体" w:hAnsi="Times New Roman"/>
                <w:bCs/>
                <w:kern w:val="2"/>
                <w:sz w:val="24"/>
                <w:szCs w:val="24"/>
                <w:lang w:bidi="ar-SA"/>
              </w:rPr>
              <w:t xml:space="preserve"> 1 </w:t>
            </w:r>
            <w:r w:rsidRPr="00AD54FA">
              <w:rPr>
                <w:rFonts w:ascii="Times New Roman" w:eastAsia="宋体" w:hAnsi="Times New Roman"/>
                <w:bCs/>
                <w:kern w:val="2"/>
                <w:sz w:val="24"/>
                <w:szCs w:val="24"/>
                <w:lang w:bidi="ar-SA"/>
              </w:rPr>
              <w:t>月</w:t>
            </w:r>
            <w:r w:rsidRPr="00AD54FA">
              <w:rPr>
                <w:rFonts w:ascii="Times New Roman" w:eastAsia="宋体" w:hAnsi="Times New Roman"/>
                <w:bCs/>
                <w:kern w:val="2"/>
                <w:sz w:val="24"/>
                <w:szCs w:val="24"/>
                <w:lang w:bidi="ar-SA"/>
              </w:rPr>
              <w:t xml:space="preserve"> 23 </w:t>
            </w:r>
            <w:r w:rsidRPr="00AD54FA">
              <w:rPr>
                <w:rFonts w:ascii="Times New Roman" w:eastAsia="宋体" w:hAnsi="Times New Roman"/>
                <w:bCs/>
                <w:kern w:val="2"/>
                <w:sz w:val="24"/>
                <w:szCs w:val="24"/>
                <w:lang w:bidi="ar-SA"/>
              </w:rPr>
              <w:t>日在菲律宾成立，在菲律宾证券交易所上市。阿亚拉是一家控股公司，业务范围涵盖</w:t>
            </w:r>
            <w:r w:rsidR="00FD4370">
              <w:rPr>
                <w:rFonts w:ascii="Times New Roman" w:eastAsia="宋体" w:hAnsi="Times New Roman" w:hint="eastAsia"/>
                <w:bCs/>
                <w:kern w:val="2"/>
                <w:sz w:val="24"/>
                <w:szCs w:val="24"/>
                <w:lang w:bidi="ar-SA"/>
              </w:rPr>
              <w:t>多行业的</w:t>
            </w:r>
            <w:r w:rsidRPr="00AD54FA">
              <w:rPr>
                <w:rFonts w:ascii="Times New Roman" w:eastAsia="宋体" w:hAnsi="Times New Roman"/>
                <w:bCs/>
                <w:kern w:val="2"/>
                <w:sz w:val="24"/>
                <w:szCs w:val="24"/>
                <w:lang w:bidi="ar-SA"/>
              </w:rPr>
              <w:t>核心价值驱动因素和年轻业态。</w:t>
            </w:r>
          </w:p>
          <w:p w14:paraId="5D2ABA8F" w14:textId="3528C0F0" w:rsidR="00FC735A" w:rsidRPr="00AD54FA" w:rsidRDefault="00FC735A" w:rsidP="00FC735A">
            <w:pPr>
              <w:widowControl w:val="0"/>
              <w:adjustRightInd w:val="0"/>
              <w:snapToGrid w:val="0"/>
              <w:spacing w:after="120"/>
              <w:rPr>
                <w:rFonts w:ascii="Times New Roman" w:eastAsia="宋体" w:hAnsi="Times New Roman"/>
                <w:bCs/>
                <w:kern w:val="2"/>
                <w:sz w:val="24"/>
                <w:szCs w:val="24"/>
                <w:lang w:bidi="ar-SA"/>
              </w:rPr>
            </w:pPr>
            <w:r w:rsidRPr="00AD54FA">
              <w:rPr>
                <w:rFonts w:ascii="Times New Roman" w:eastAsia="宋体" w:hAnsi="Times New Roman"/>
                <w:bCs/>
                <w:kern w:val="2"/>
                <w:sz w:val="24"/>
                <w:szCs w:val="24"/>
                <w:lang w:bidi="ar-SA"/>
              </w:rPr>
              <w:t>阿亚拉的最终控制人是</w:t>
            </w:r>
            <w:r w:rsidRPr="00AD54FA">
              <w:rPr>
                <w:rFonts w:ascii="Times New Roman" w:eastAsia="宋体" w:hAnsi="Times New Roman"/>
                <w:bCs/>
                <w:kern w:val="2"/>
                <w:sz w:val="24"/>
                <w:szCs w:val="24"/>
                <w:lang w:bidi="ar-SA"/>
              </w:rPr>
              <w:t xml:space="preserve"> </w:t>
            </w:r>
            <w:proofErr w:type="spellStart"/>
            <w:r w:rsidRPr="00AD54FA">
              <w:rPr>
                <w:rFonts w:ascii="Times New Roman" w:eastAsia="宋体" w:hAnsi="Times New Roman"/>
                <w:bCs/>
                <w:kern w:val="2"/>
                <w:sz w:val="24"/>
                <w:szCs w:val="24"/>
                <w:lang w:bidi="ar-SA"/>
              </w:rPr>
              <w:t>Mermac</w:t>
            </w:r>
            <w:proofErr w:type="spellEnd"/>
            <w:r w:rsidRPr="00AD54FA">
              <w:rPr>
                <w:rFonts w:ascii="Times New Roman" w:eastAsia="宋体" w:hAnsi="Times New Roman"/>
                <w:bCs/>
                <w:kern w:val="2"/>
                <w:sz w:val="24"/>
                <w:szCs w:val="24"/>
                <w:lang w:bidi="ar-SA"/>
              </w:rPr>
              <w:t>公司，</w:t>
            </w:r>
            <w:r w:rsidR="001E1845">
              <w:rPr>
                <w:rFonts w:ascii="Times New Roman" w:eastAsia="宋体" w:hAnsi="Times New Roman" w:hint="eastAsia"/>
                <w:bCs/>
                <w:kern w:val="2"/>
                <w:sz w:val="24"/>
                <w:szCs w:val="24"/>
                <w:lang w:bidi="ar-SA"/>
              </w:rPr>
              <w:t>其</w:t>
            </w:r>
            <w:r w:rsidRPr="00AD54FA">
              <w:rPr>
                <w:rFonts w:ascii="Times New Roman" w:eastAsia="宋体" w:hAnsi="Times New Roman"/>
                <w:bCs/>
                <w:kern w:val="2"/>
                <w:sz w:val="24"/>
                <w:szCs w:val="24"/>
                <w:lang w:bidi="ar-SA"/>
              </w:rPr>
              <w:t>是一家在菲律宾注册成立的控股公司。</w:t>
            </w:r>
          </w:p>
        </w:tc>
      </w:tr>
      <w:tr w:rsidR="00630684" w:rsidRPr="00AD54FA" w14:paraId="54CD7534" w14:textId="77777777" w:rsidTr="00CE283E">
        <w:trPr>
          <w:trHeight w:val="279"/>
        </w:trPr>
        <w:tc>
          <w:tcPr>
            <w:tcW w:w="1736" w:type="dxa"/>
            <w:vMerge w:val="restart"/>
            <w:tcBorders>
              <w:top w:val="single" w:sz="4" w:space="0" w:color="auto"/>
              <w:left w:val="single" w:sz="4" w:space="0" w:color="auto"/>
              <w:bottom w:val="single" w:sz="4" w:space="0" w:color="auto"/>
              <w:right w:val="single" w:sz="4" w:space="0" w:color="auto"/>
            </w:tcBorders>
            <w:shd w:val="clear" w:color="auto" w:fill="D9D9D9"/>
            <w:hideMark/>
          </w:tcPr>
          <w:p w14:paraId="31680ADC" w14:textId="0E683174" w:rsidR="00630684" w:rsidRPr="00AD54FA" w:rsidRDefault="00630684" w:rsidP="00630684">
            <w:pPr>
              <w:widowControl w:val="0"/>
              <w:adjustRightInd w:val="0"/>
              <w:snapToGrid w:val="0"/>
              <w:spacing w:after="120"/>
              <w:rPr>
                <w:rFonts w:ascii="Times New Roman" w:eastAsia="宋体" w:hAnsi="Times New Roman"/>
                <w:kern w:val="2"/>
                <w:sz w:val="24"/>
                <w:szCs w:val="24"/>
                <w:lang w:bidi="ar-SA"/>
              </w:rPr>
            </w:pPr>
            <w:r w:rsidRPr="00177F47">
              <w:rPr>
                <w:rFonts w:ascii="Times New Roman" w:eastAsia="宋体" w:hAnsi="Times New Roman" w:hint="eastAsia"/>
                <w:kern w:val="2"/>
                <w:sz w:val="24"/>
                <w:szCs w:val="24"/>
                <w:lang w:bidi="ar-SA"/>
              </w:rPr>
              <w:t>简易案件理由（可以单选，也可以多选）</w:t>
            </w:r>
          </w:p>
        </w:tc>
        <w:tc>
          <w:tcPr>
            <w:tcW w:w="6539" w:type="dxa"/>
            <w:gridSpan w:val="2"/>
            <w:tcBorders>
              <w:top w:val="single" w:sz="4" w:space="0" w:color="auto"/>
              <w:left w:val="single" w:sz="4" w:space="0" w:color="auto"/>
              <w:bottom w:val="single" w:sz="4" w:space="0" w:color="auto"/>
              <w:right w:val="single" w:sz="4" w:space="0" w:color="auto"/>
            </w:tcBorders>
            <w:hideMark/>
          </w:tcPr>
          <w:p w14:paraId="7F755F14" w14:textId="3822CDF3" w:rsidR="00630684" w:rsidRPr="00AD54FA" w:rsidRDefault="00630684" w:rsidP="00630684">
            <w:pPr>
              <w:widowControl w:val="0"/>
              <w:adjustRightInd w:val="0"/>
              <w:snapToGrid w:val="0"/>
              <w:spacing w:after="120"/>
              <w:rPr>
                <w:rFonts w:ascii="Times New Roman" w:eastAsia="宋体" w:hAnsi="Times New Roman"/>
                <w:kern w:val="2"/>
                <w:sz w:val="24"/>
                <w:szCs w:val="24"/>
                <w:lang w:bidi="ar-SA"/>
              </w:rPr>
            </w:pPr>
            <w:r w:rsidRPr="00AD54FA">
              <w:rPr>
                <w:rFonts w:ascii="Times New Roman" w:eastAsia="宋体" w:hAnsi="Times New Roman"/>
                <w:bCs/>
                <w:kern w:val="2"/>
                <w:sz w:val="24"/>
                <w:szCs w:val="24"/>
                <w:lang w:bidi="ar-SA"/>
              </w:rPr>
              <w:sym w:font="Wingdings" w:char="F0A8"/>
            </w:r>
            <w:r w:rsidRPr="00AD54FA">
              <w:rPr>
                <w:rFonts w:ascii="Times New Roman" w:eastAsia="宋体" w:hAnsi="Times New Roman"/>
                <w:bCs/>
                <w:kern w:val="2"/>
                <w:sz w:val="24"/>
                <w:szCs w:val="24"/>
                <w:lang w:bidi="ar-SA"/>
              </w:rPr>
              <w:t xml:space="preserve"> </w:t>
            </w:r>
            <w:r>
              <w:rPr>
                <w:rFonts w:ascii="Times New Roman" w:eastAsia="宋体" w:hAnsi="Times New Roman" w:hint="eastAsia"/>
                <w:bCs/>
                <w:kern w:val="2"/>
                <w:sz w:val="24"/>
                <w:szCs w:val="24"/>
                <w:lang w:bidi="ar-SA"/>
              </w:rPr>
              <w:t>1</w:t>
            </w:r>
            <w:r>
              <w:rPr>
                <w:rFonts w:ascii="Times New Roman" w:eastAsia="宋体" w:hAnsi="Times New Roman" w:hint="eastAsia"/>
                <w:bCs/>
                <w:kern w:val="2"/>
                <w:sz w:val="24"/>
                <w:szCs w:val="24"/>
                <w:lang w:bidi="ar-SA"/>
              </w:rPr>
              <w:t>、</w:t>
            </w:r>
            <w:r w:rsidRPr="00FA4B1D">
              <w:rPr>
                <w:rFonts w:ascii="Times New Roman" w:eastAsia="宋体" w:hAnsi="Times New Roman" w:hint="eastAsia"/>
                <w:kern w:val="2"/>
                <w:sz w:val="24"/>
                <w:szCs w:val="24"/>
                <w:lang w:bidi="ar-SA"/>
              </w:rPr>
              <w:t>在同一相关市场，参与集中的经营者所占的市场份额之和小于</w:t>
            </w:r>
            <w:r w:rsidRPr="00FA4B1D">
              <w:rPr>
                <w:rFonts w:ascii="Times New Roman" w:eastAsia="宋体" w:hAnsi="Times New Roman"/>
                <w:kern w:val="2"/>
                <w:sz w:val="24"/>
                <w:szCs w:val="24"/>
                <w:lang w:bidi="ar-SA"/>
              </w:rPr>
              <w:t>15%</w:t>
            </w:r>
            <w:r w:rsidRPr="00FA4B1D">
              <w:rPr>
                <w:rFonts w:ascii="Times New Roman" w:eastAsia="宋体" w:hAnsi="Times New Roman" w:hint="eastAsia"/>
                <w:kern w:val="2"/>
                <w:sz w:val="24"/>
                <w:szCs w:val="24"/>
                <w:lang w:bidi="ar-SA"/>
              </w:rPr>
              <w:t>。</w:t>
            </w:r>
          </w:p>
        </w:tc>
      </w:tr>
      <w:tr w:rsidR="00630684" w:rsidRPr="00AD54FA" w14:paraId="49CFE7D6" w14:textId="77777777" w:rsidTr="00CE283E">
        <w:trPr>
          <w:trHeight w:val="33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163E4E" w14:textId="77777777" w:rsidR="00630684" w:rsidRPr="00AD54FA" w:rsidRDefault="00630684" w:rsidP="00630684">
            <w:pPr>
              <w:adjustRightInd w:val="0"/>
              <w:snapToGrid w:val="0"/>
              <w:spacing w:after="120"/>
              <w:rPr>
                <w:rFonts w:ascii="Times New Roman" w:eastAsia="宋体" w:hAnsi="Times New Roman"/>
                <w:kern w:val="2"/>
                <w:sz w:val="24"/>
                <w:szCs w:val="24"/>
                <w:lang w:bidi="ar-SA"/>
              </w:rPr>
            </w:pPr>
          </w:p>
        </w:tc>
        <w:tc>
          <w:tcPr>
            <w:tcW w:w="6539" w:type="dxa"/>
            <w:gridSpan w:val="2"/>
            <w:tcBorders>
              <w:top w:val="single" w:sz="4" w:space="0" w:color="auto"/>
              <w:left w:val="single" w:sz="4" w:space="0" w:color="auto"/>
              <w:bottom w:val="single" w:sz="4" w:space="0" w:color="auto"/>
              <w:right w:val="single" w:sz="4" w:space="0" w:color="auto"/>
            </w:tcBorders>
            <w:hideMark/>
          </w:tcPr>
          <w:p w14:paraId="15611E31" w14:textId="024B0A21" w:rsidR="00630684" w:rsidRPr="00AD54FA" w:rsidRDefault="00630684" w:rsidP="00630684">
            <w:pPr>
              <w:widowControl w:val="0"/>
              <w:adjustRightInd w:val="0"/>
              <w:snapToGrid w:val="0"/>
              <w:spacing w:after="120"/>
              <w:rPr>
                <w:rFonts w:ascii="Times New Roman" w:eastAsia="宋体" w:hAnsi="Times New Roman"/>
                <w:kern w:val="2"/>
                <w:sz w:val="24"/>
                <w:szCs w:val="24"/>
                <w:lang w:bidi="ar-SA"/>
              </w:rPr>
            </w:pPr>
            <w:r w:rsidRPr="00AD54FA">
              <w:rPr>
                <w:rFonts w:ascii="Times New Roman" w:eastAsia="宋体" w:hAnsi="Times New Roman"/>
                <w:bCs/>
                <w:kern w:val="2"/>
                <w:sz w:val="24"/>
                <w:szCs w:val="24"/>
                <w:lang w:bidi="ar-SA"/>
              </w:rPr>
              <w:sym w:font="Wingdings" w:char="F0A8"/>
            </w:r>
            <w:r w:rsidRPr="00AD54FA">
              <w:rPr>
                <w:rFonts w:ascii="Times New Roman" w:eastAsia="宋体" w:hAnsi="Times New Roman"/>
                <w:bCs/>
                <w:kern w:val="2"/>
                <w:sz w:val="24"/>
                <w:szCs w:val="24"/>
                <w:lang w:bidi="ar-SA"/>
              </w:rPr>
              <w:t xml:space="preserve"> </w:t>
            </w:r>
            <w:r>
              <w:rPr>
                <w:rFonts w:ascii="Times New Roman" w:eastAsia="宋体" w:hAnsi="Times New Roman" w:hint="eastAsia"/>
                <w:bCs/>
                <w:kern w:val="2"/>
                <w:sz w:val="24"/>
                <w:szCs w:val="24"/>
                <w:lang w:bidi="ar-SA"/>
              </w:rPr>
              <w:t>2</w:t>
            </w:r>
            <w:r>
              <w:rPr>
                <w:rFonts w:ascii="Times New Roman" w:eastAsia="宋体" w:hAnsi="Times New Roman" w:hint="eastAsia"/>
                <w:bCs/>
                <w:kern w:val="2"/>
                <w:sz w:val="24"/>
                <w:szCs w:val="24"/>
                <w:lang w:bidi="ar-SA"/>
              </w:rPr>
              <w:t>、</w:t>
            </w:r>
            <w:r w:rsidRPr="00FA4B1D">
              <w:rPr>
                <w:rFonts w:ascii="Times New Roman" w:eastAsia="宋体" w:hAnsi="Times New Roman" w:hint="eastAsia"/>
                <w:bCs/>
                <w:kern w:val="2"/>
                <w:sz w:val="24"/>
                <w:szCs w:val="24"/>
                <w:lang w:bidi="ar-SA"/>
              </w:rPr>
              <w:t>在上下游市场，参与集中的经营者所占的市场份额均小于</w:t>
            </w:r>
            <w:r w:rsidRPr="00FA4B1D">
              <w:rPr>
                <w:rFonts w:ascii="Times New Roman" w:eastAsia="宋体" w:hAnsi="Times New Roman"/>
                <w:bCs/>
                <w:kern w:val="2"/>
                <w:sz w:val="24"/>
                <w:szCs w:val="24"/>
                <w:lang w:bidi="ar-SA"/>
              </w:rPr>
              <w:t>25%</w:t>
            </w:r>
            <w:r w:rsidRPr="00FA4B1D">
              <w:rPr>
                <w:rFonts w:ascii="Times New Roman" w:eastAsia="宋体" w:hAnsi="Times New Roman" w:hint="eastAsia"/>
                <w:bCs/>
                <w:kern w:val="2"/>
                <w:sz w:val="24"/>
                <w:szCs w:val="24"/>
                <w:lang w:bidi="ar-SA"/>
              </w:rPr>
              <w:t>。</w:t>
            </w:r>
          </w:p>
        </w:tc>
      </w:tr>
      <w:tr w:rsidR="00630684" w:rsidRPr="00AD54FA" w14:paraId="4DB1F070" w14:textId="77777777" w:rsidTr="00CE283E">
        <w:trPr>
          <w:trHeight w:val="28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FDD2C2" w14:textId="77777777" w:rsidR="00630684" w:rsidRPr="00AD54FA" w:rsidRDefault="00630684" w:rsidP="00630684">
            <w:pPr>
              <w:adjustRightInd w:val="0"/>
              <w:snapToGrid w:val="0"/>
              <w:spacing w:after="120"/>
              <w:rPr>
                <w:rFonts w:ascii="Times New Roman" w:eastAsia="宋体" w:hAnsi="Times New Roman"/>
                <w:kern w:val="2"/>
                <w:sz w:val="24"/>
                <w:szCs w:val="24"/>
                <w:lang w:bidi="ar-SA"/>
              </w:rPr>
            </w:pPr>
          </w:p>
        </w:tc>
        <w:tc>
          <w:tcPr>
            <w:tcW w:w="6539" w:type="dxa"/>
            <w:gridSpan w:val="2"/>
            <w:tcBorders>
              <w:top w:val="single" w:sz="4" w:space="0" w:color="auto"/>
              <w:left w:val="single" w:sz="4" w:space="0" w:color="auto"/>
              <w:bottom w:val="single" w:sz="4" w:space="0" w:color="auto"/>
              <w:right w:val="single" w:sz="4" w:space="0" w:color="auto"/>
            </w:tcBorders>
            <w:hideMark/>
          </w:tcPr>
          <w:p w14:paraId="6F8B4A65" w14:textId="36D1433C" w:rsidR="00630684" w:rsidRPr="00AD54FA" w:rsidRDefault="00630684" w:rsidP="00630684">
            <w:pPr>
              <w:widowControl w:val="0"/>
              <w:adjustRightInd w:val="0"/>
              <w:snapToGrid w:val="0"/>
              <w:spacing w:after="120"/>
              <w:rPr>
                <w:rFonts w:ascii="Times New Roman" w:eastAsia="宋体" w:hAnsi="Times New Roman"/>
                <w:kern w:val="2"/>
                <w:sz w:val="24"/>
                <w:szCs w:val="24"/>
                <w:lang w:bidi="ar-SA"/>
              </w:rPr>
            </w:pPr>
            <w:r w:rsidRPr="00AD54FA">
              <w:rPr>
                <w:rFonts w:ascii="Times New Roman" w:eastAsia="宋体" w:hAnsi="Times New Roman"/>
                <w:bCs/>
                <w:kern w:val="2"/>
                <w:sz w:val="24"/>
                <w:szCs w:val="24"/>
                <w:lang w:bidi="ar-SA"/>
              </w:rPr>
              <w:sym w:font="Wingdings" w:char="F0A8"/>
            </w:r>
            <w:r w:rsidRPr="00AD54FA">
              <w:rPr>
                <w:rFonts w:ascii="Times New Roman" w:eastAsia="宋体" w:hAnsi="Times New Roman"/>
                <w:bCs/>
                <w:kern w:val="2"/>
                <w:sz w:val="24"/>
                <w:szCs w:val="24"/>
                <w:lang w:bidi="ar-SA"/>
              </w:rPr>
              <w:t xml:space="preserve"> </w:t>
            </w:r>
            <w:r w:rsidRPr="00E21625">
              <w:rPr>
                <w:rFonts w:ascii="Times New Roman" w:eastAsia="宋体" w:hAnsi="Times New Roman"/>
                <w:bCs/>
                <w:kern w:val="2"/>
                <w:sz w:val="24"/>
                <w:szCs w:val="24"/>
                <w:lang w:bidi="ar-SA"/>
              </w:rPr>
              <w:t>3</w:t>
            </w:r>
            <w:r>
              <w:rPr>
                <w:rFonts w:ascii="Times New Roman" w:eastAsia="宋体" w:hAnsi="Times New Roman" w:hint="eastAsia"/>
                <w:bCs/>
                <w:kern w:val="2"/>
                <w:sz w:val="24"/>
                <w:szCs w:val="24"/>
                <w:lang w:bidi="ar-SA"/>
              </w:rPr>
              <w:t>、</w:t>
            </w:r>
            <w:r w:rsidRPr="00E21625">
              <w:rPr>
                <w:rFonts w:ascii="Times New Roman" w:eastAsia="宋体" w:hAnsi="Times New Roman" w:hint="eastAsia"/>
                <w:bCs/>
                <w:kern w:val="2"/>
                <w:sz w:val="24"/>
                <w:szCs w:val="24"/>
                <w:lang w:bidi="ar-SA"/>
              </w:rPr>
              <w:t>不在同一相关市场也不存在上下游关系的参与集中的经营者，在与交易有关的每个市场所占的市场份额均小于</w:t>
            </w:r>
            <w:r w:rsidRPr="00E21625">
              <w:rPr>
                <w:rFonts w:ascii="Times New Roman" w:eastAsia="宋体" w:hAnsi="Times New Roman"/>
                <w:bCs/>
                <w:kern w:val="2"/>
                <w:sz w:val="24"/>
                <w:szCs w:val="24"/>
                <w:lang w:bidi="ar-SA"/>
              </w:rPr>
              <w:t>25%</w:t>
            </w:r>
            <w:r w:rsidRPr="00E21625">
              <w:rPr>
                <w:rFonts w:ascii="Times New Roman" w:eastAsia="宋体" w:hAnsi="Times New Roman" w:hint="eastAsia"/>
                <w:bCs/>
                <w:kern w:val="2"/>
                <w:sz w:val="24"/>
                <w:szCs w:val="24"/>
                <w:lang w:bidi="ar-SA"/>
              </w:rPr>
              <w:t>。</w:t>
            </w:r>
          </w:p>
        </w:tc>
      </w:tr>
      <w:tr w:rsidR="00630684" w:rsidRPr="00AD54FA" w14:paraId="0B648881" w14:textId="77777777" w:rsidTr="00CE283E">
        <w:trPr>
          <w:trHeight w:val="87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61DA52" w14:textId="77777777" w:rsidR="00630684" w:rsidRPr="00AD54FA" w:rsidRDefault="00630684" w:rsidP="00630684">
            <w:pPr>
              <w:adjustRightInd w:val="0"/>
              <w:snapToGrid w:val="0"/>
              <w:spacing w:after="120"/>
              <w:rPr>
                <w:rFonts w:ascii="Times New Roman" w:eastAsia="宋体" w:hAnsi="Times New Roman"/>
                <w:kern w:val="2"/>
                <w:sz w:val="24"/>
                <w:szCs w:val="24"/>
                <w:lang w:bidi="ar-SA"/>
              </w:rPr>
            </w:pPr>
          </w:p>
        </w:tc>
        <w:tc>
          <w:tcPr>
            <w:tcW w:w="6539" w:type="dxa"/>
            <w:gridSpan w:val="2"/>
            <w:tcBorders>
              <w:top w:val="single" w:sz="4" w:space="0" w:color="auto"/>
              <w:left w:val="single" w:sz="4" w:space="0" w:color="auto"/>
              <w:bottom w:val="single" w:sz="4" w:space="0" w:color="auto"/>
              <w:right w:val="single" w:sz="4" w:space="0" w:color="auto"/>
            </w:tcBorders>
            <w:hideMark/>
          </w:tcPr>
          <w:p w14:paraId="4B014944" w14:textId="35A9160D" w:rsidR="00630684" w:rsidRPr="00AD54FA" w:rsidRDefault="00630684" w:rsidP="00630684">
            <w:pPr>
              <w:widowControl w:val="0"/>
              <w:adjustRightInd w:val="0"/>
              <w:snapToGrid w:val="0"/>
              <w:spacing w:after="120"/>
              <w:rPr>
                <w:rFonts w:ascii="Times New Roman" w:eastAsia="宋体" w:hAnsi="Times New Roman"/>
                <w:kern w:val="2"/>
                <w:sz w:val="24"/>
                <w:szCs w:val="24"/>
                <w:lang w:bidi="ar-SA"/>
              </w:rPr>
            </w:pPr>
            <w:r w:rsidRPr="00AD54FA">
              <w:rPr>
                <w:rFonts w:ascii="Times New Roman" w:eastAsia="宋体" w:hAnsi="Times New Roman"/>
                <w:bCs/>
                <w:kern w:val="2"/>
                <w:sz w:val="24"/>
                <w:szCs w:val="24"/>
                <w:lang w:bidi="ar-SA"/>
              </w:rPr>
              <w:sym w:font="Wingdings" w:char="F0A8"/>
            </w:r>
            <w:r w:rsidRPr="00AD54FA">
              <w:rPr>
                <w:rFonts w:ascii="Times New Roman" w:eastAsia="宋体" w:hAnsi="Times New Roman"/>
                <w:bCs/>
                <w:kern w:val="2"/>
                <w:sz w:val="24"/>
                <w:szCs w:val="24"/>
                <w:lang w:bidi="ar-SA"/>
              </w:rPr>
              <w:t xml:space="preserve"> 4</w:t>
            </w:r>
            <w:r w:rsidRPr="00AD54FA">
              <w:rPr>
                <w:rFonts w:ascii="Times New Roman" w:eastAsia="宋体" w:hAnsi="Times New Roman"/>
                <w:bCs/>
                <w:kern w:val="2"/>
                <w:sz w:val="24"/>
                <w:szCs w:val="24"/>
                <w:lang w:bidi="ar-SA"/>
              </w:rPr>
              <w:t>、参与集中的经营者在中国境外设立合营企业，合营企业不在中国境内从事经济活动。</w:t>
            </w:r>
          </w:p>
        </w:tc>
      </w:tr>
      <w:tr w:rsidR="00630684" w:rsidRPr="00AD54FA" w14:paraId="3CD42E41" w14:textId="77777777" w:rsidTr="00CE283E">
        <w:trPr>
          <w:trHeight w:val="2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AD56554" w14:textId="77777777" w:rsidR="00630684" w:rsidRPr="00AD54FA" w:rsidRDefault="00630684" w:rsidP="00630684">
            <w:pPr>
              <w:adjustRightInd w:val="0"/>
              <w:snapToGrid w:val="0"/>
              <w:spacing w:after="120"/>
              <w:rPr>
                <w:rFonts w:ascii="Times New Roman" w:eastAsia="宋体" w:hAnsi="Times New Roman"/>
                <w:kern w:val="2"/>
                <w:sz w:val="24"/>
                <w:szCs w:val="24"/>
                <w:lang w:bidi="ar-SA"/>
              </w:rPr>
            </w:pPr>
          </w:p>
        </w:tc>
        <w:tc>
          <w:tcPr>
            <w:tcW w:w="6539" w:type="dxa"/>
            <w:gridSpan w:val="2"/>
            <w:tcBorders>
              <w:top w:val="single" w:sz="4" w:space="0" w:color="auto"/>
              <w:left w:val="single" w:sz="4" w:space="0" w:color="auto"/>
              <w:bottom w:val="single" w:sz="4" w:space="0" w:color="auto"/>
              <w:right w:val="single" w:sz="4" w:space="0" w:color="auto"/>
            </w:tcBorders>
            <w:hideMark/>
          </w:tcPr>
          <w:p w14:paraId="579CFE49" w14:textId="0288AAF7" w:rsidR="00630684" w:rsidRPr="00AD54FA" w:rsidRDefault="00630684" w:rsidP="00630684">
            <w:pPr>
              <w:widowControl w:val="0"/>
              <w:adjustRightInd w:val="0"/>
              <w:snapToGrid w:val="0"/>
              <w:spacing w:after="120"/>
              <w:rPr>
                <w:rFonts w:ascii="Times New Roman" w:eastAsia="宋体" w:hAnsi="Times New Roman"/>
                <w:kern w:val="2"/>
                <w:sz w:val="24"/>
                <w:szCs w:val="24"/>
                <w:lang w:bidi="ar-SA"/>
              </w:rPr>
            </w:pPr>
            <w:r w:rsidRPr="00A11297">
              <w:rPr>
                <w:rFonts w:ascii="Times New Roman" w:eastAsia="宋体" w:hAnsi="Times New Roman"/>
                <w:bCs/>
                <w:kern w:val="2"/>
                <w:sz w:val="24"/>
                <w:szCs w:val="24"/>
                <w:lang w:bidi="ar-SA"/>
              </w:rPr>
              <w:sym w:font="Wingdings" w:char="F0FE"/>
            </w:r>
            <w:r w:rsidRPr="00AD54FA">
              <w:rPr>
                <w:rFonts w:ascii="Times New Roman" w:eastAsia="宋体" w:hAnsi="Times New Roman"/>
                <w:bCs/>
                <w:kern w:val="2"/>
                <w:sz w:val="24"/>
                <w:szCs w:val="24"/>
                <w:lang w:bidi="ar-SA"/>
              </w:rPr>
              <w:t xml:space="preserve"> 5</w:t>
            </w:r>
            <w:r w:rsidRPr="00AD54FA">
              <w:rPr>
                <w:rFonts w:ascii="Times New Roman" w:eastAsia="宋体" w:hAnsi="Times New Roman"/>
                <w:bCs/>
                <w:kern w:val="2"/>
                <w:sz w:val="24"/>
                <w:szCs w:val="24"/>
                <w:lang w:bidi="ar-SA"/>
              </w:rPr>
              <w:t>、参与集中的经营者收购境外企业股权或资产的，该境外企业不在中国境内从事经济活动。</w:t>
            </w:r>
          </w:p>
        </w:tc>
      </w:tr>
      <w:tr w:rsidR="00630684" w:rsidRPr="00AD54FA" w14:paraId="22DE6E4E" w14:textId="77777777" w:rsidTr="00CE283E">
        <w:trPr>
          <w:trHeight w:val="3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FF577E" w14:textId="77777777" w:rsidR="00630684" w:rsidRPr="00AD54FA" w:rsidRDefault="00630684" w:rsidP="00630684">
            <w:pPr>
              <w:adjustRightInd w:val="0"/>
              <w:snapToGrid w:val="0"/>
              <w:spacing w:after="120"/>
              <w:rPr>
                <w:rFonts w:ascii="Times New Roman" w:eastAsia="宋体" w:hAnsi="Times New Roman"/>
                <w:kern w:val="2"/>
                <w:sz w:val="24"/>
                <w:szCs w:val="24"/>
                <w:lang w:bidi="ar-SA"/>
              </w:rPr>
            </w:pPr>
          </w:p>
        </w:tc>
        <w:tc>
          <w:tcPr>
            <w:tcW w:w="6539" w:type="dxa"/>
            <w:gridSpan w:val="2"/>
            <w:tcBorders>
              <w:top w:val="single" w:sz="4" w:space="0" w:color="auto"/>
              <w:left w:val="single" w:sz="4" w:space="0" w:color="auto"/>
              <w:bottom w:val="single" w:sz="4" w:space="0" w:color="auto"/>
              <w:right w:val="single" w:sz="4" w:space="0" w:color="auto"/>
            </w:tcBorders>
            <w:hideMark/>
          </w:tcPr>
          <w:p w14:paraId="08CC5B7D" w14:textId="13017BC1" w:rsidR="00630684" w:rsidRPr="00AD54FA" w:rsidRDefault="00630684" w:rsidP="00630684">
            <w:pPr>
              <w:widowControl w:val="0"/>
              <w:adjustRightInd w:val="0"/>
              <w:snapToGrid w:val="0"/>
              <w:spacing w:after="120"/>
              <w:rPr>
                <w:rFonts w:ascii="Times New Roman" w:eastAsia="宋体" w:hAnsi="Times New Roman"/>
                <w:kern w:val="2"/>
                <w:sz w:val="24"/>
                <w:szCs w:val="24"/>
                <w:lang w:bidi="ar-SA"/>
              </w:rPr>
            </w:pPr>
            <w:r w:rsidRPr="00AD54FA">
              <w:rPr>
                <w:rFonts w:ascii="Times New Roman" w:eastAsia="宋体" w:hAnsi="Times New Roman"/>
                <w:bCs/>
                <w:kern w:val="2"/>
                <w:sz w:val="24"/>
                <w:szCs w:val="24"/>
                <w:lang w:bidi="ar-SA"/>
              </w:rPr>
              <w:sym w:font="Wingdings" w:char="F0A8"/>
            </w:r>
            <w:r w:rsidRPr="00AD54FA">
              <w:rPr>
                <w:rFonts w:ascii="Times New Roman" w:eastAsia="宋体" w:hAnsi="Times New Roman"/>
                <w:kern w:val="2"/>
                <w:sz w:val="24"/>
                <w:szCs w:val="24"/>
                <w:lang w:bidi="ar-SA"/>
              </w:rPr>
              <w:t xml:space="preserve"> 6</w:t>
            </w:r>
            <w:r w:rsidRPr="00AD54FA">
              <w:rPr>
                <w:rFonts w:ascii="Times New Roman" w:eastAsia="宋体" w:hAnsi="Times New Roman"/>
                <w:kern w:val="2"/>
                <w:sz w:val="24"/>
                <w:szCs w:val="24"/>
                <w:lang w:bidi="ar-SA"/>
              </w:rPr>
              <w:t>、由两个以上的经营者共同控制的合营企业，通过集中被其中一个或一个以上经营者控制。</w:t>
            </w:r>
          </w:p>
        </w:tc>
      </w:tr>
      <w:tr w:rsidR="00C03A66" w:rsidRPr="00AD54FA" w14:paraId="0EF6DEDD" w14:textId="77777777" w:rsidTr="00CE283E">
        <w:tc>
          <w:tcPr>
            <w:tcW w:w="1736" w:type="dxa"/>
            <w:tcBorders>
              <w:top w:val="single" w:sz="4" w:space="0" w:color="auto"/>
              <w:left w:val="single" w:sz="4" w:space="0" w:color="auto"/>
              <w:bottom w:val="single" w:sz="4" w:space="0" w:color="auto"/>
              <w:right w:val="single" w:sz="4" w:space="0" w:color="auto"/>
            </w:tcBorders>
            <w:shd w:val="clear" w:color="auto" w:fill="D9D9D9"/>
            <w:hideMark/>
          </w:tcPr>
          <w:p w14:paraId="4A3A5A09" w14:textId="38DD83D5" w:rsidR="00C03A66" w:rsidRPr="00AD54FA" w:rsidRDefault="00FC735A" w:rsidP="00D45D24">
            <w:pPr>
              <w:widowControl w:val="0"/>
              <w:adjustRightInd w:val="0"/>
              <w:snapToGrid w:val="0"/>
              <w:spacing w:after="120"/>
              <w:rPr>
                <w:rFonts w:ascii="Times New Roman" w:eastAsia="宋体" w:hAnsi="Times New Roman"/>
                <w:kern w:val="2"/>
                <w:sz w:val="24"/>
                <w:szCs w:val="24"/>
                <w:lang w:bidi="ar-SA"/>
              </w:rPr>
            </w:pPr>
            <w:r w:rsidRPr="00AD54FA">
              <w:rPr>
                <w:rFonts w:ascii="Times New Roman" w:eastAsia="宋体" w:hAnsi="Times New Roman"/>
                <w:kern w:val="2"/>
                <w:sz w:val="24"/>
                <w:szCs w:val="24"/>
                <w:lang w:bidi="ar-SA"/>
              </w:rPr>
              <w:t>备注</w:t>
            </w:r>
          </w:p>
        </w:tc>
        <w:tc>
          <w:tcPr>
            <w:tcW w:w="6539" w:type="dxa"/>
            <w:gridSpan w:val="2"/>
            <w:tcBorders>
              <w:top w:val="single" w:sz="4" w:space="0" w:color="auto"/>
              <w:left w:val="single" w:sz="4" w:space="0" w:color="auto"/>
              <w:bottom w:val="single" w:sz="4" w:space="0" w:color="auto"/>
              <w:right w:val="single" w:sz="4" w:space="0" w:color="auto"/>
            </w:tcBorders>
          </w:tcPr>
          <w:p w14:paraId="3B9CF1D9" w14:textId="3EE33630" w:rsidR="000B3631" w:rsidRPr="00AD54FA" w:rsidRDefault="001D54C5" w:rsidP="00D45D24">
            <w:pPr>
              <w:widowControl w:val="0"/>
              <w:adjustRightInd w:val="0"/>
              <w:snapToGrid w:val="0"/>
              <w:spacing w:after="120"/>
              <w:rPr>
                <w:rFonts w:ascii="Times New Roman" w:eastAsia="宋体" w:hAnsi="Times New Roman"/>
                <w:kern w:val="2"/>
                <w:sz w:val="24"/>
                <w:szCs w:val="24"/>
                <w:lang w:bidi="ar-SA"/>
              </w:rPr>
            </w:pPr>
            <w:r>
              <w:rPr>
                <w:rFonts w:ascii="Times New Roman" w:eastAsia="宋体" w:hAnsi="Times New Roman" w:hint="eastAsia"/>
                <w:kern w:val="2"/>
                <w:sz w:val="24"/>
                <w:szCs w:val="24"/>
                <w:lang w:bidi="ar-SA"/>
              </w:rPr>
              <w:t>不适用</w:t>
            </w:r>
          </w:p>
        </w:tc>
      </w:tr>
    </w:tbl>
    <w:p w14:paraId="2C2BF227" w14:textId="77777777" w:rsidR="0028726A" w:rsidRPr="00AD54FA" w:rsidRDefault="0028726A" w:rsidP="00D45D24">
      <w:pPr>
        <w:adjustRightInd w:val="0"/>
        <w:snapToGrid w:val="0"/>
        <w:spacing w:after="120"/>
        <w:rPr>
          <w:rFonts w:ascii="Times New Roman" w:hAnsi="Times New Roman"/>
          <w:sz w:val="24"/>
          <w:szCs w:val="24"/>
        </w:rPr>
      </w:pPr>
    </w:p>
    <w:sectPr w:rsidR="0028726A" w:rsidRPr="00AD54FA">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67478" w14:textId="77777777" w:rsidR="00444FF2" w:rsidRDefault="00444FF2" w:rsidP="00C03A66">
      <w:r>
        <w:separator/>
      </w:r>
    </w:p>
  </w:endnote>
  <w:endnote w:type="continuationSeparator" w:id="0">
    <w:p w14:paraId="29C58FCC" w14:textId="77777777" w:rsidR="00444FF2" w:rsidRDefault="00444FF2" w:rsidP="00C03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plified Arabic">
    <w:altName w:val="Simplified Arabic"/>
    <w:panose1 w:val="02020603050405020304"/>
    <w:charset w:val="B2"/>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DC382" w14:textId="77777777" w:rsidR="00444FF2" w:rsidRDefault="00444FF2" w:rsidP="00C03A66">
      <w:r>
        <w:separator/>
      </w:r>
    </w:p>
  </w:footnote>
  <w:footnote w:type="continuationSeparator" w:id="0">
    <w:p w14:paraId="07A376E0" w14:textId="77777777" w:rsidR="00444FF2" w:rsidRDefault="00444FF2" w:rsidP="00C03A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05B2B"/>
    <w:multiLevelType w:val="hybridMultilevel"/>
    <w:tmpl w:val="859E8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C50502"/>
    <w:multiLevelType w:val="multilevel"/>
    <w:tmpl w:val="8A8A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3F35D5"/>
    <w:multiLevelType w:val="hybridMultilevel"/>
    <w:tmpl w:val="9BF45B56"/>
    <w:lvl w:ilvl="0" w:tplc="FA26458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2723990">
    <w:abstractNumId w:val="0"/>
  </w:num>
  <w:num w:numId="2" w16cid:durableId="962148261">
    <w:abstractNumId w:val="1"/>
  </w:num>
  <w:num w:numId="3" w16cid:durableId="19564787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A66"/>
    <w:rsid w:val="00001AC1"/>
    <w:rsid w:val="00003809"/>
    <w:rsid w:val="00016071"/>
    <w:rsid w:val="00016134"/>
    <w:rsid w:val="00020180"/>
    <w:rsid w:val="000233E9"/>
    <w:rsid w:val="00034478"/>
    <w:rsid w:val="000345F0"/>
    <w:rsid w:val="00053284"/>
    <w:rsid w:val="00053688"/>
    <w:rsid w:val="00056816"/>
    <w:rsid w:val="00080335"/>
    <w:rsid w:val="000868F1"/>
    <w:rsid w:val="000A52F5"/>
    <w:rsid w:val="000B267A"/>
    <w:rsid w:val="000B3631"/>
    <w:rsid w:val="000C0BFB"/>
    <w:rsid w:val="000C12D5"/>
    <w:rsid w:val="000C347D"/>
    <w:rsid w:val="000C5EB0"/>
    <w:rsid w:val="000C7D1C"/>
    <w:rsid w:val="000C7EF1"/>
    <w:rsid w:val="000D150B"/>
    <w:rsid w:val="000E18EA"/>
    <w:rsid w:val="000E2C8C"/>
    <w:rsid w:val="000E307E"/>
    <w:rsid w:val="000E3514"/>
    <w:rsid w:val="000E5173"/>
    <w:rsid w:val="000E586D"/>
    <w:rsid w:val="000F4685"/>
    <w:rsid w:val="000F6022"/>
    <w:rsid w:val="0010648A"/>
    <w:rsid w:val="001102CC"/>
    <w:rsid w:val="00114785"/>
    <w:rsid w:val="001147F0"/>
    <w:rsid w:val="00114F01"/>
    <w:rsid w:val="00133C89"/>
    <w:rsid w:val="00141D1F"/>
    <w:rsid w:val="00142570"/>
    <w:rsid w:val="0014519F"/>
    <w:rsid w:val="00147D9A"/>
    <w:rsid w:val="00153384"/>
    <w:rsid w:val="001535E6"/>
    <w:rsid w:val="001562CB"/>
    <w:rsid w:val="001576A6"/>
    <w:rsid w:val="00161C31"/>
    <w:rsid w:val="0016252D"/>
    <w:rsid w:val="00166BEC"/>
    <w:rsid w:val="00181202"/>
    <w:rsid w:val="001842EB"/>
    <w:rsid w:val="00184FE6"/>
    <w:rsid w:val="001859E3"/>
    <w:rsid w:val="0018718A"/>
    <w:rsid w:val="00190083"/>
    <w:rsid w:val="001905BE"/>
    <w:rsid w:val="00191F7D"/>
    <w:rsid w:val="001A0EEE"/>
    <w:rsid w:val="001A3A2E"/>
    <w:rsid w:val="001A3CBC"/>
    <w:rsid w:val="001A3E84"/>
    <w:rsid w:val="001A40EF"/>
    <w:rsid w:val="001A4BBD"/>
    <w:rsid w:val="001D398F"/>
    <w:rsid w:val="001D3C12"/>
    <w:rsid w:val="001D54C5"/>
    <w:rsid w:val="001D6E16"/>
    <w:rsid w:val="001E0EB2"/>
    <w:rsid w:val="001E1845"/>
    <w:rsid w:val="001F2824"/>
    <w:rsid w:val="001F3576"/>
    <w:rsid w:val="001F46FB"/>
    <w:rsid w:val="001F75C8"/>
    <w:rsid w:val="00202ED9"/>
    <w:rsid w:val="00220FD0"/>
    <w:rsid w:val="00231B58"/>
    <w:rsid w:val="00237172"/>
    <w:rsid w:val="002402ED"/>
    <w:rsid w:val="00242460"/>
    <w:rsid w:val="002434F0"/>
    <w:rsid w:val="00246389"/>
    <w:rsid w:val="00246915"/>
    <w:rsid w:val="00247ABE"/>
    <w:rsid w:val="00256E35"/>
    <w:rsid w:val="00257D61"/>
    <w:rsid w:val="00274C2E"/>
    <w:rsid w:val="00281320"/>
    <w:rsid w:val="002832FB"/>
    <w:rsid w:val="00283718"/>
    <w:rsid w:val="00286A5D"/>
    <w:rsid w:val="0028726A"/>
    <w:rsid w:val="002945F2"/>
    <w:rsid w:val="002A629F"/>
    <w:rsid w:val="002A7D1C"/>
    <w:rsid w:val="002B089A"/>
    <w:rsid w:val="002B1EBD"/>
    <w:rsid w:val="002B2A16"/>
    <w:rsid w:val="002C522B"/>
    <w:rsid w:val="002C7140"/>
    <w:rsid w:val="002D2768"/>
    <w:rsid w:val="002D2BB1"/>
    <w:rsid w:val="002F5BAD"/>
    <w:rsid w:val="00303929"/>
    <w:rsid w:val="00307E12"/>
    <w:rsid w:val="00307EA7"/>
    <w:rsid w:val="003233E5"/>
    <w:rsid w:val="003322AB"/>
    <w:rsid w:val="00335C9E"/>
    <w:rsid w:val="00343AB9"/>
    <w:rsid w:val="00363663"/>
    <w:rsid w:val="00372A86"/>
    <w:rsid w:val="003738D2"/>
    <w:rsid w:val="003867D6"/>
    <w:rsid w:val="003A51DE"/>
    <w:rsid w:val="003A5FBE"/>
    <w:rsid w:val="003A7624"/>
    <w:rsid w:val="003B570E"/>
    <w:rsid w:val="003B7D47"/>
    <w:rsid w:val="003C319C"/>
    <w:rsid w:val="003D5487"/>
    <w:rsid w:val="003E2461"/>
    <w:rsid w:val="003F3E65"/>
    <w:rsid w:val="004056A6"/>
    <w:rsid w:val="0040750E"/>
    <w:rsid w:val="0041083C"/>
    <w:rsid w:val="00415F5B"/>
    <w:rsid w:val="004231B0"/>
    <w:rsid w:val="00437FE4"/>
    <w:rsid w:val="00444FF2"/>
    <w:rsid w:val="00463DBF"/>
    <w:rsid w:val="00471566"/>
    <w:rsid w:val="00473B1C"/>
    <w:rsid w:val="00483F47"/>
    <w:rsid w:val="004B3221"/>
    <w:rsid w:val="004B397A"/>
    <w:rsid w:val="004B7AAC"/>
    <w:rsid w:val="004C2632"/>
    <w:rsid w:val="004C591F"/>
    <w:rsid w:val="004C7648"/>
    <w:rsid w:val="004D1DE0"/>
    <w:rsid w:val="004D3E49"/>
    <w:rsid w:val="004E3413"/>
    <w:rsid w:val="004F00C2"/>
    <w:rsid w:val="004F1E72"/>
    <w:rsid w:val="00523D80"/>
    <w:rsid w:val="00524FDF"/>
    <w:rsid w:val="0053652F"/>
    <w:rsid w:val="00541733"/>
    <w:rsid w:val="00542199"/>
    <w:rsid w:val="0054649F"/>
    <w:rsid w:val="00560917"/>
    <w:rsid w:val="0056183D"/>
    <w:rsid w:val="00570B0D"/>
    <w:rsid w:val="005774EC"/>
    <w:rsid w:val="00577904"/>
    <w:rsid w:val="00577F66"/>
    <w:rsid w:val="00581D5A"/>
    <w:rsid w:val="00585613"/>
    <w:rsid w:val="00590C40"/>
    <w:rsid w:val="00591564"/>
    <w:rsid w:val="00594C2E"/>
    <w:rsid w:val="005A5167"/>
    <w:rsid w:val="005B0072"/>
    <w:rsid w:val="005B5C0A"/>
    <w:rsid w:val="005C2974"/>
    <w:rsid w:val="005C4D42"/>
    <w:rsid w:val="005D0045"/>
    <w:rsid w:val="005D0450"/>
    <w:rsid w:val="005D05AA"/>
    <w:rsid w:val="005D4A5B"/>
    <w:rsid w:val="005D78D2"/>
    <w:rsid w:val="005E1004"/>
    <w:rsid w:val="005E3AF0"/>
    <w:rsid w:val="005E6C87"/>
    <w:rsid w:val="005F08C8"/>
    <w:rsid w:val="005F11B4"/>
    <w:rsid w:val="005F7118"/>
    <w:rsid w:val="0060132F"/>
    <w:rsid w:val="00601A7C"/>
    <w:rsid w:val="00615DA0"/>
    <w:rsid w:val="00616A29"/>
    <w:rsid w:val="006208E8"/>
    <w:rsid w:val="00630684"/>
    <w:rsid w:val="0063227D"/>
    <w:rsid w:val="0064095B"/>
    <w:rsid w:val="00641861"/>
    <w:rsid w:val="00647656"/>
    <w:rsid w:val="0065625D"/>
    <w:rsid w:val="0065766D"/>
    <w:rsid w:val="006649A1"/>
    <w:rsid w:val="006673F1"/>
    <w:rsid w:val="00671D94"/>
    <w:rsid w:val="006805AA"/>
    <w:rsid w:val="00681AC7"/>
    <w:rsid w:val="0068593E"/>
    <w:rsid w:val="00692BF8"/>
    <w:rsid w:val="006A15A8"/>
    <w:rsid w:val="006A52F1"/>
    <w:rsid w:val="006B2D53"/>
    <w:rsid w:val="006C182E"/>
    <w:rsid w:val="006C1C7D"/>
    <w:rsid w:val="006C75A3"/>
    <w:rsid w:val="006F535E"/>
    <w:rsid w:val="00700A03"/>
    <w:rsid w:val="00702742"/>
    <w:rsid w:val="0070694B"/>
    <w:rsid w:val="007139A0"/>
    <w:rsid w:val="00724531"/>
    <w:rsid w:val="007251D3"/>
    <w:rsid w:val="00726918"/>
    <w:rsid w:val="007278F6"/>
    <w:rsid w:val="00736B02"/>
    <w:rsid w:val="00750F1E"/>
    <w:rsid w:val="0075428C"/>
    <w:rsid w:val="00763461"/>
    <w:rsid w:val="007654F5"/>
    <w:rsid w:val="00766AB2"/>
    <w:rsid w:val="00767B3F"/>
    <w:rsid w:val="00767D3E"/>
    <w:rsid w:val="00771DDE"/>
    <w:rsid w:val="007902B9"/>
    <w:rsid w:val="007943D9"/>
    <w:rsid w:val="00795F11"/>
    <w:rsid w:val="007A1DB2"/>
    <w:rsid w:val="007A440A"/>
    <w:rsid w:val="007B25AA"/>
    <w:rsid w:val="007B28B8"/>
    <w:rsid w:val="007B4E8F"/>
    <w:rsid w:val="007C0A76"/>
    <w:rsid w:val="007C2322"/>
    <w:rsid w:val="007C506D"/>
    <w:rsid w:val="007C77D6"/>
    <w:rsid w:val="007D0315"/>
    <w:rsid w:val="007D0386"/>
    <w:rsid w:val="007D46EB"/>
    <w:rsid w:val="007D6D0E"/>
    <w:rsid w:val="007E28F2"/>
    <w:rsid w:val="007E292A"/>
    <w:rsid w:val="007E4362"/>
    <w:rsid w:val="007F1E70"/>
    <w:rsid w:val="007F430C"/>
    <w:rsid w:val="007F59C2"/>
    <w:rsid w:val="00802622"/>
    <w:rsid w:val="0080350C"/>
    <w:rsid w:val="00804588"/>
    <w:rsid w:val="008062EB"/>
    <w:rsid w:val="00812BED"/>
    <w:rsid w:val="008175E7"/>
    <w:rsid w:val="008253DE"/>
    <w:rsid w:val="00826B9D"/>
    <w:rsid w:val="00836176"/>
    <w:rsid w:val="00836556"/>
    <w:rsid w:val="0084160A"/>
    <w:rsid w:val="008449BD"/>
    <w:rsid w:val="00851978"/>
    <w:rsid w:val="00852DD6"/>
    <w:rsid w:val="00860D36"/>
    <w:rsid w:val="00871405"/>
    <w:rsid w:val="0087407B"/>
    <w:rsid w:val="00882D14"/>
    <w:rsid w:val="00894186"/>
    <w:rsid w:val="008945BA"/>
    <w:rsid w:val="008A7A56"/>
    <w:rsid w:val="008B01AE"/>
    <w:rsid w:val="008B12FC"/>
    <w:rsid w:val="008B5A77"/>
    <w:rsid w:val="008B6F01"/>
    <w:rsid w:val="008C4E22"/>
    <w:rsid w:val="008C4E41"/>
    <w:rsid w:val="008E4465"/>
    <w:rsid w:val="009025D6"/>
    <w:rsid w:val="009116F4"/>
    <w:rsid w:val="00922E7D"/>
    <w:rsid w:val="00936344"/>
    <w:rsid w:val="009662BD"/>
    <w:rsid w:val="00966B4C"/>
    <w:rsid w:val="0097298A"/>
    <w:rsid w:val="009763D3"/>
    <w:rsid w:val="00980819"/>
    <w:rsid w:val="0098418D"/>
    <w:rsid w:val="00985653"/>
    <w:rsid w:val="0098683D"/>
    <w:rsid w:val="00993238"/>
    <w:rsid w:val="0099333F"/>
    <w:rsid w:val="009967B0"/>
    <w:rsid w:val="009A010D"/>
    <w:rsid w:val="009A1805"/>
    <w:rsid w:val="009A18D8"/>
    <w:rsid w:val="009A53AF"/>
    <w:rsid w:val="009B343C"/>
    <w:rsid w:val="009C285C"/>
    <w:rsid w:val="009C398C"/>
    <w:rsid w:val="009C5A1C"/>
    <w:rsid w:val="009D0E64"/>
    <w:rsid w:val="009D1103"/>
    <w:rsid w:val="009D680B"/>
    <w:rsid w:val="009D6D57"/>
    <w:rsid w:val="009E3E24"/>
    <w:rsid w:val="009F5587"/>
    <w:rsid w:val="009F7721"/>
    <w:rsid w:val="00A003E8"/>
    <w:rsid w:val="00A02388"/>
    <w:rsid w:val="00A05865"/>
    <w:rsid w:val="00A12328"/>
    <w:rsid w:val="00A13720"/>
    <w:rsid w:val="00A16183"/>
    <w:rsid w:val="00A279E7"/>
    <w:rsid w:val="00A30761"/>
    <w:rsid w:val="00A30F26"/>
    <w:rsid w:val="00A37BF6"/>
    <w:rsid w:val="00A53964"/>
    <w:rsid w:val="00A56290"/>
    <w:rsid w:val="00A63872"/>
    <w:rsid w:val="00A6604F"/>
    <w:rsid w:val="00A7256A"/>
    <w:rsid w:val="00A74B97"/>
    <w:rsid w:val="00AA4408"/>
    <w:rsid w:val="00AA6315"/>
    <w:rsid w:val="00AA6F3E"/>
    <w:rsid w:val="00AB3C27"/>
    <w:rsid w:val="00AB6510"/>
    <w:rsid w:val="00AC4B34"/>
    <w:rsid w:val="00AD2F90"/>
    <w:rsid w:val="00AD356B"/>
    <w:rsid w:val="00AD41CB"/>
    <w:rsid w:val="00AD54FA"/>
    <w:rsid w:val="00AE3748"/>
    <w:rsid w:val="00AE463B"/>
    <w:rsid w:val="00AF59E7"/>
    <w:rsid w:val="00B0026F"/>
    <w:rsid w:val="00B02D82"/>
    <w:rsid w:val="00B0740D"/>
    <w:rsid w:val="00B105FE"/>
    <w:rsid w:val="00B10CD9"/>
    <w:rsid w:val="00B115C9"/>
    <w:rsid w:val="00B13A1D"/>
    <w:rsid w:val="00B14CDA"/>
    <w:rsid w:val="00B1548E"/>
    <w:rsid w:val="00B24528"/>
    <w:rsid w:val="00B33322"/>
    <w:rsid w:val="00B33E21"/>
    <w:rsid w:val="00B47F67"/>
    <w:rsid w:val="00B53CFB"/>
    <w:rsid w:val="00B546BE"/>
    <w:rsid w:val="00B57907"/>
    <w:rsid w:val="00B635EC"/>
    <w:rsid w:val="00B70415"/>
    <w:rsid w:val="00B71282"/>
    <w:rsid w:val="00B96664"/>
    <w:rsid w:val="00BB3E91"/>
    <w:rsid w:val="00BB4F8B"/>
    <w:rsid w:val="00BC01AD"/>
    <w:rsid w:val="00BC078C"/>
    <w:rsid w:val="00BC0AE3"/>
    <w:rsid w:val="00BC655C"/>
    <w:rsid w:val="00BD29FB"/>
    <w:rsid w:val="00BD57E7"/>
    <w:rsid w:val="00BF36BB"/>
    <w:rsid w:val="00BF3751"/>
    <w:rsid w:val="00C03A66"/>
    <w:rsid w:val="00C110BB"/>
    <w:rsid w:val="00C15187"/>
    <w:rsid w:val="00C266B4"/>
    <w:rsid w:val="00C35FB5"/>
    <w:rsid w:val="00C46EAA"/>
    <w:rsid w:val="00C52398"/>
    <w:rsid w:val="00C55BD4"/>
    <w:rsid w:val="00C60634"/>
    <w:rsid w:val="00C61024"/>
    <w:rsid w:val="00C7144B"/>
    <w:rsid w:val="00C71770"/>
    <w:rsid w:val="00C71D1F"/>
    <w:rsid w:val="00C92C69"/>
    <w:rsid w:val="00C93A81"/>
    <w:rsid w:val="00CA3F9B"/>
    <w:rsid w:val="00CA50C8"/>
    <w:rsid w:val="00CB26E9"/>
    <w:rsid w:val="00CB32DB"/>
    <w:rsid w:val="00CB38C4"/>
    <w:rsid w:val="00CB552C"/>
    <w:rsid w:val="00CB7C8E"/>
    <w:rsid w:val="00CC130B"/>
    <w:rsid w:val="00CD09B0"/>
    <w:rsid w:val="00CD38BF"/>
    <w:rsid w:val="00CE283E"/>
    <w:rsid w:val="00CE7451"/>
    <w:rsid w:val="00CF6EC6"/>
    <w:rsid w:val="00D007B0"/>
    <w:rsid w:val="00D01025"/>
    <w:rsid w:val="00D02701"/>
    <w:rsid w:val="00D1156B"/>
    <w:rsid w:val="00D16194"/>
    <w:rsid w:val="00D16AD1"/>
    <w:rsid w:val="00D213B6"/>
    <w:rsid w:val="00D22D42"/>
    <w:rsid w:val="00D241CE"/>
    <w:rsid w:val="00D255AC"/>
    <w:rsid w:val="00D31576"/>
    <w:rsid w:val="00D317EF"/>
    <w:rsid w:val="00D31A30"/>
    <w:rsid w:val="00D44A80"/>
    <w:rsid w:val="00D45D24"/>
    <w:rsid w:val="00D60215"/>
    <w:rsid w:val="00D60B2D"/>
    <w:rsid w:val="00D64CC9"/>
    <w:rsid w:val="00D76295"/>
    <w:rsid w:val="00D83832"/>
    <w:rsid w:val="00D84EBE"/>
    <w:rsid w:val="00D90F9E"/>
    <w:rsid w:val="00D97BD4"/>
    <w:rsid w:val="00DA2155"/>
    <w:rsid w:val="00DA2B89"/>
    <w:rsid w:val="00DA5202"/>
    <w:rsid w:val="00DB684E"/>
    <w:rsid w:val="00DC631B"/>
    <w:rsid w:val="00DD47C4"/>
    <w:rsid w:val="00DD5685"/>
    <w:rsid w:val="00DE0C66"/>
    <w:rsid w:val="00DE3031"/>
    <w:rsid w:val="00DE75CF"/>
    <w:rsid w:val="00DE7713"/>
    <w:rsid w:val="00DE7EBA"/>
    <w:rsid w:val="00DF0D77"/>
    <w:rsid w:val="00DF25A9"/>
    <w:rsid w:val="00DF2F1A"/>
    <w:rsid w:val="00DF34B8"/>
    <w:rsid w:val="00DF54A6"/>
    <w:rsid w:val="00DF60CC"/>
    <w:rsid w:val="00DF7ED3"/>
    <w:rsid w:val="00E012C8"/>
    <w:rsid w:val="00E11251"/>
    <w:rsid w:val="00E1780A"/>
    <w:rsid w:val="00E23BDC"/>
    <w:rsid w:val="00E27569"/>
    <w:rsid w:val="00E32236"/>
    <w:rsid w:val="00E33BD1"/>
    <w:rsid w:val="00E40258"/>
    <w:rsid w:val="00E44851"/>
    <w:rsid w:val="00E45B4B"/>
    <w:rsid w:val="00E621AC"/>
    <w:rsid w:val="00E661A0"/>
    <w:rsid w:val="00E66A19"/>
    <w:rsid w:val="00E9275D"/>
    <w:rsid w:val="00E93713"/>
    <w:rsid w:val="00E94EBD"/>
    <w:rsid w:val="00E97422"/>
    <w:rsid w:val="00EA03EC"/>
    <w:rsid w:val="00EA0738"/>
    <w:rsid w:val="00EB04D9"/>
    <w:rsid w:val="00EB6471"/>
    <w:rsid w:val="00EB7F60"/>
    <w:rsid w:val="00EC0783"/>
    <w:rsid w:val="00EC665A"/>
    <w:rsid w:val="00ED4B44"/>
    <w:rsid w:val="00ED4DE9"/>
    <w:rsid w:val="00EE15B1"/>
    <w:rsid w:val="00EE554F"/>
    <w:rsid w:val="00EF0205"/>
    <w:rsid w:val="00EF04C7"/>
    <w:rsid w:val="00EF564F"/>
    <w:rsid w:val="00EF7B97"/>
    <w:rsid w:val="00F02FC9"/>
    <w:rsid w:val="00F04890"/>
    <w:rsid w:val="00F14D16"/>
    <w:rsid w:val="00F2296B"/>
    <w:rsid w:val="00F30E46"/>
    <w:rsid w:val="00F35C93"/>
    <w:rsid w:val="00F35CBD"/>
    <w:rsid w:val="00F40019"/>
    <w:rsid w:val="00F41988"/>
    <w:rsid w:val="00F42CBB"/>
    <w:rsid w:val="00F46D5B"/>
    <w:rsid w:val="00F5161F"/>
    <w:rsid w:val="00F57C05"/>
    <w:rsid w:val="00F6253F"/>
    <w:rsid w:val="00F6362E"/>
    <w:rsid w:val="00F650BB"/>
    <w:rsid w:val="00F660D2"/>
    <w:rsid w:val="00F90164"/>
    <w:rsid w:val="00F9666F"/>
    <w:rsid w:val="00FA6401"/>
    <w:rsid w:val="00FA674A"/>
    <w:rsid w:val="00FB553E"/>
    <w:rsid w:val="00FB695B"/>
    <w:rsid w:val="00FB76A9"/>
    <w:rsid w:val="00FC7231"/>
    <w:rsid w:val="00FC735A"/>
    <w:rsid w:val="00FC7512"/>
    <w:rsid w:val="00FD1D48"/>
    <w:rsid w:val="00FD2D34"/>
    <w:rsid w:val="00FD4370"/>
    <w:rsid w:val="00FD697F"/>
    <w:rsid w:val="00FD7CAE"/>
    <w:rsid w:val="00FE094B"/>
    <w:rsid w:val="00FE4FAD"/>
    <w:rsid w:val="00FE62C2"/>
    <w:rsid w:val="00FE7562"/>
    <w:rsid w:val="00FF09D4"/>
    <w:rsid w:val="00FF645C"/>
    <w:rsid w:val="00FF67B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AE34FE"/>
  <w15:chartTrackingRefBased/>
  <w15:docId w15:val="{ED4C7F2A-703E-4C0A-AE22-BDCD150A0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6EB"/>
    <w:pPr>
      <w:spacing w:after="0" w:line="240" w:lineRule="auto"/>
    </w:pPr>
    <w:rPr>
      <w:rFonts w:ascii="Calibri" w:eastAsia="MS Mincho" w:hAnsi="Calibri" w:cs="Times New Roman"/>
      <w:sz w:val="20"/>
      <w:szCs w:val="20"/>
      <w:lang w:val="en-US"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3A66"/>
    <w:pPr>
      <w:tabs>
        <w:tab w:val="center" w:pos="4153"/>
        <w:tab w:val="right" w:pos="8306"/>
      </w:tabs>
    </w:pPr>
    <w:rPr>
      <w:rFonts w:asciiTheme="minorHAnsi" w:eastAsiaTheme="minorEastAsia" w:hAnsiTheme="minorHAnsi" w:cstheme="minorBidi"/>
      <w:sz w:val="22"/>
      <w:szCs w:val="22"/>
      <w:lang w:val="en-GB" w:bidi="ar-SA"/>
    </w:rPr>
  </w:style>
  <w:style w:type="character" w:customStyle="1" w:styleId="HeaderChar">
    <w:name w:val="Header Char"/>
    <w:basedOn w:val="DefaultParagraphFont"/>
    <w:link w:val="Header"/>
    <w:uiPriority w:val="99"/>
    <w:rsid w:val="00C03A66"/>
  </w:style>
  <w:style w:type="paragraph" w:styleId="Footer">
    <w:name w:val="footer"/>
    <w:basedOn w:val="Normal"/>
    <w:link w:val="FooterChar"/>
    <w:uiPriority w:val="99"/>
    <w:unhideWhenUsed/>
    <w:rsid w:val="00C03A66"/>
    <w:pPr>
      <w:tabs>
        <w:tab w:val="center" w:pos="4153"/>
        <w:tab w:val="right" w:pos="8306"/>
      </w:tabs>
    </w:pPr>
    <w:rPr>
      <w:rFonts w:asciiTheme="minorHAnsi" w:eastAsiaTheme="minorEastAsia" w:hAnsiTheme="minorHAnsi" w:cstheme="minorBidi"/>
      <w:sz w:val="22"/>
      <w:szCs w:val="22"/>
      <w:lang w:val="en-GB" w:bidi="ar-SA"/>
    </w:rPr>
  </w:style>
  <w:style w:type="character" w:customStyle="1" w:styleId="FooterChar">
    <w:name w:val="Footer Char"/>
    <w:basedOn w:val="DefaultParagraphFont"/>
    <w:link w:val="Footer"/>
    <w:uiPriority w:val="99"/>
    <w:rsid w:val="00C03A66"/>
  </w:style>
  <w:style w:type="paragraph" w:styleId="Revision">
    <w:name w:val="Revision"/>
    <w:hidden/>
    <w:uiPriority w:val="99"/>
    <w:semiHidden/>
    <w:rsid w:val="009C285C"/>
    <w:pPr>
      <w:spacing w:after="0" w:line="240" w:lineRule="auto"/>
    </w:pPr>
    <w:rPr>
      <w:rFonts w:ascii="Calibri" w:eastAsia="MS Mincho" w:hAnsi="Calibri" w:cs="Times New Roman"/>
      <w:sz w:val="20"/>
      <w:szCs w:val="20"/>
      <w:lang w:val="en-US" w:bidi="he-IL"/>
    </w:rPr>
  </w:style>
  <w:style w:type="paragraph" w:styleId="BalloonText">
    <w:name w:val="Balloon Text"/>
    <w:basedOn w:val="Normal"/>
    <w:link w:val="BalloonTextChar"/>
    <w:uiPriority w:val="99"/>
    <w:semiHidden/>
    <w:unhideWhenUsed/>
    <w:rsid w:val="009C285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285C"/>
    <w:rPr>
      <w:rFonts w:ascii="Segoe UI" w:eastAsia="MS Mincho" w:hAnsi="Segoe UI" w:cs="Segoe UI"/>
      <w:sz w:val="18"/>
      <w:szCs w:val="18"/>
      <w:lang w:val="en-US" w:bidi="he-IL"/>
    </w:rPr>
  </w:style>
  <w:style w:type="paragraph" w:styleId="BodyText">
    <w:name w:val="Body Text"/>
    <w:basedOn w:val="Normal"/>
    <w:link w:val="BodyTextChar"/>
    <w:qFormat/>
    <w:rsid w:val="0054649F"/>
    <w:pPr>
      <w:spacing w:after="240"/>
      <w:jc w:val="both"/>
    </w:pPr>
    <w:rPr>
      <w:rFonts w:ascii="Times New Roman" w:eastAsiaTheme="minorEastAsia" w:hAnsi="Times New Roman" w:cs="Simplified Arabic"/>
      <w:sz w:val="24"/>
      <w:szCs w:val="24"/>
      <w:lang w:val="en-GB" w:eastAsia="en-GB" w:bidi="ar-AE"/>
    </w:rPr>
  </w:style>
  <w:style w:type="character" w:customStyle="1" w:styleId="BodyTextChar">
    <w:name w:val="Body Text Char"/>
    <w:basedOn w:val="DefaultParagraphFont"/>
    <w:link w:val="BodyText"/>
    <w:rsid w:val="0054649F"/>
    <w:rPr>
      <w:rFonts w:ascii="Times New Roman" w:hAnsi="Times New Roman" w:cs="Simplified Arabic"/>
      <w:sz w:val="24"/>
      <w:szCs w:val="24"/>
      <w:lang w:eastAsia="en-GB" w:bidi="ar-AE"/>
    </w:rPr>
  </w:style>
  <w:style w:type="character" w:styleId="CommentReference">
    <w:name w:val="annotation reference"/>
    <w:basedOn w:val="DefaultParagraphFont"/>
    <w:uiPriority w:val="99"/>
    <w:semiHidden/>
    <w:unhideWhenUsed/>
    <w:rsid w:val="00591564"/>
    <w:rPr>
      <w:sz w:val="16"/>
      <w:szCs w:val="16"/>
    </w:rPr>
  </w:style>
  <w:style w:type="paragraph" w:styleId="CommentText">
    <w:name w:val="annotation text"/>
    <w:basedOn w:val="Normal"/>
    <w:link w:val="CommentTextChar"/>
    <w:uiPriority w:val="99"/>
    <w:unhideWhenUsed/>
    <w:rsid w:val="00591564"/>
  </w:style>
  <w:style w:type="character" w:customStyle="1" w:styleId="CommentTextChar">
    <w:name w:val="Comment Text Char"/>
    <w:basedOn w:val="DefaultParagraphFont"/>
    <w:link w:val="CommentText"/>
    <w:uiPriority w:val="99"/>
    <w:rsid w:val="00591564"/>
    <w:rPr>
      <w:rFonts w:ascii="Calibri" w:eastAsia="MS Mincho" w:hAnsi="Calibri" w:cs="Times New Roman"/>
      <w:sz w:val="20"/>
      <w:szCs w:val="20"/>
      <w:lang w:val="en-US" w:bidi="he-IL"/>
    </w:rPr>
  </w:style>
  <w:style w:type="paragraph" w:styleId="CommentSubject">
    <w:name w:val="annotation subject"/>
    <w:basedOn w:val="CommentText"/>
    <w:next w:val="CommentText"/>
    <w:link w:val="CommentSubjectChar"/>
    <w:uiPriority w:val="99"/>
    <w:semiHidden/>
    <w:unhideWhenUsed/>
    <w:rsid w:val="00591564"/>
    <w:rPr>
      <w:b/>
      <w:bCs/>
    </w:rPr>
  </w:style>
  <w:style w:type="character" w:customStyle="1" w:styleId="CommentSubjectChar">
    <w:name w:val="Comment Subject Char"/>
    <w:basedOn w:val="CommentTextChar"/>
    <w:link w:val="CommentSubject"/>
    <w:uiPriority w:val="99"/>
    <w:semiHidden/>
    <w:rsid w:val="00591564"/>
    <w:rPr>
      <w:rFonts w:ascii="Calibri" w:eastAsia="MS Mincho" w:hAnsi="Calibri" w:cs="Times New Roman"/>
      <w:b/>
      <w:bCs/>
      <w:sz w:val="20"/>
      <w:szCs w:val="20"/>
      <w:lang w:val="en-US" w:bidi="he-IL"/>
    </w:rPr>
  </w:style>
  <w:style w:type="paragraph" w:styleId="ListParagraph">
    <w:name w:val="List Paragraph"/>
    <w:aliases w:val="#Listenabsatz"/>
    <w:basedOn w:val="Normal"/>
    <w:link w:val="ListParagraphChar"/>
    <w:uiPriority w:val="34"/>
    <w:unhideWhenUsed/>
    <w:qFormat/>
    <w:rsid w:val="00A53964"/>
    <w:pPr>
      <w:ind w:left="720"/>
      <w:contextualSpacing/>
    </w:pPr>
  </w:style>
  <w:style w:type="character" w:customStyle="1" w:styleId="ListParagraphChar">
    <w:name w:val="List Paragraph Char"/>
    <w:aliases w:val="#Listenabsatz Char"/>
    <w:link w:val="ListParagraph"/>
    <w:uiPriority w:val="34"/>
    <w:locked/>
    <w:rsid w:val="00A53964"/>
    <w:rPr>
      <w:rFonts w:ascii="Calibri" w:eastAsia="MS Mincho" w:hAnsi="Calibri" w:cs="Times New Roman"/>
      <w:sz w:val="20"/>
      <w:szCs w:val="20"/>
      <w:lang w:val="en-US" w:bidi="he-IL"/>
    </w:rPr>
  </w:style>
  <w:style w:type="paragraph" w:customStyle="1" w:styleId="Body">
    <w:name w:val="Body"/>
    <w:basedOn w:val="Normal"/>
    <w:rsid w:val="00AB6510"/>
    <w:pPr>
      <w:spacing w:after="140" w:line="290" w:lineRule="auto"/>
      <w:jc w:val="both"/>
    </w:pPr>
    <w:rPr>
      <w:rFonts w:ascii="Arial" w:eastAsia="宋体" w:hAnsi="Arial"/>
      <w:kern w:val="20"/>
      <w:szCs w:val="24"/>
      <w:lang w:val="en-GB" w:eastAsia="en-US" w:bidi="ar-SA"/>
    </w:rPr>
  </w:style>
  <w:style w:type="paragraph" w:customStyle="1" w:styleId="TableParagraph">
    <w:name w:val="Table Paragraph"/>
    <w:basedOn w:val="Normal"/>
    <w:uiPriority w:val="1"/>
    <w:qFormat/>
    <w:rsid w:val="00FC735A"/>
    <w:pPr>
      <w:widowControl w:val="0"/>
      <w:autoSpaceDE w:val="0"/>
      <w:autoSpaceDN w:val="0"/>
    </w:pPr>
    <w:rPr>
      <w:rFonts w:ascii="微软雅黑" w:eastAsia="微软雅黑" w:hAnsi="微软雅黑" w:cs="微软雅黑"/>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516705">
      <w:bodyDiv w:val="1"/>
      <w:marLeft w:val="0"/>
      <w:marRight w:val="0"/>
      <w:marTop w:val="0"/>
      <w:marBottom w:val="0"/>
      <w:divBdr>
        <w:top w:val="none" w:sz="0" w:space="0" w:color="auto"/>
        <w:left w:val="none" w:sz="0" w:space="0" w:color="auto"/>
        <w:bottom w:val="none" w:sz="0" w:space="0" w:color="auto"/>
        <w:right w:val="none" w:sz="0" w:space="0" w:color="auto"/>
      </w:divBdr>
    </w:div>
    <w:div w:id="357242784">
      <w:bodyDiv w:val="1"/>
      <w:marLeft w:val="0"/>
      <w:marRight w:val="0"/>
      <w:marTop w:val="0"/>
      <w:marBottom w:val="0"/>
      <w:divBdr>
        <w:top w:val="none" w:sz="0" w:space="0" w:color="auto"/>
        <w:left w:val="none" w:sz="0" w:space="0" w:color="auto"/>
        <w:bottom w:val="none" w:sz="0" w:space="0" w:color="auto"/>
        <w:right w:val="none" w:sz="0" w:space="0" w:color="auto"/>
      </w:divBdr>
    </w:div>
    <w:div w:id="799344078">
      <w:bodyDiv w:val="1"/>
      <w:marLeft w:val="0"/>
      <w:marRight w:val="0"/>
      <w:marTop w:val="0"/>
      <w:marBottom w:val="0"/>
      <w:divBdr>
        <w:top w:val="none" w:sz="0" w:space="0" w:color="auto"/>
        <w:left w:val="none" w:sz="0" w:space="0" w:color="auto"/>
        <w:bottom w:val="none" w:sz="0" w:space="0" w:color="auto"/>
        <w:right w:val="none" w:sz="0" w:space="0" w:color="auto"/>
      </w:divBdr>
    </w:div>
    <w:div w:id="1611087715">
      <w:bodyDiv w:val="1"/>
      <w:marLeft w:val="0"/>
      <w:marRight w:val="0"/>
      <w:marTop w:val="0"/>
      <w:marBottom w:val="0"/>
      <w:divBdr>
        <w:top w:val="none" w:sz="0" w:space="0" w:color="auto"/>
        <w:left w:val="none" w:sz="0" w:space="0" w:color="auto"/>
        <w:bottom w:val="none" w:sz="0" w:space="0" w:color="auto"/>
        <w:right w:val="none" w:sz="0" w:space="0" w:color="auto"/>
      </w:divBdr>
    </w:div>
    <w:div w:id="1885212799">
      <w:bodyDiv w:val="1"/>
      <w:marLeft w:val="0"/>
      <w:marRight w:val="0"/>
      <w:marTop w:val="0"/>
      <w:marBottom w:val="0"/>
      <w:divBdr>
        <w:top w:val="none" w:sz="0" w:space="0" w:color="auto"/>
        <w:left w:val="none" w:sz="0" w:space="0" w:color="auto"/>
        <w:bottom w:val="none" w:sz="0" w:space="0" w:color="auto"/>
        <w:right w:val="none" w:sz="0" w:space="0" w:color="auto"/>
      </w:divBdr>
    </w:div>
    <w:div w:id="1898277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roperties xmlns="http://www.imanage.com/work/xmlschema">
  <documentid>AMERICAS!24011418586.2</documentid>
  <senderid>620644</senderid>
  <senderemail>CHLOE.BARCLAY@CLIFFORDCHANCE.COM</senderemail>
  <lastmodified>2024-09-11T18:09:00.0000000+01:00</lastmodified>
  <database>AMERICAS</database>
</properties>
</file>

<file path=customXml/item2.xml><?xml version="1.0" encoding="utf-8"?>
<?mso-contentType ?>
<SharedContentType xmlns="Microsoft.SharePoint.Taxonomy.ContentTypeSync" SourceId="da97c454-82a7-458e-b02b-a23c149c4c8f" ContentTypeId="0x01010066AAA4A189E15340A8F90A14B5E3178D01" PreviousValue="false"/>
</file>

<file path=customXml/item3.xml><?xml version="1.0" encoding="utf-8"?>
<?mso-contentType ?>
<p:Policy xmlns:p="office.server.policy" id="" local="true">
  <p:Name>Legal Document</p:Name>
  <p:Description/>
  <p:Statement/>
  <p:PolicyItems>
    <p:PolicyItem featureId="Microsoft.Office.RecordsManagement.PolicyFeatures.PolicyLabel" staticId="0x01010066AAA4A189E15340A8F90A14B5E3178D010093B0E8CA13B14C41BAFE6564DDF24F70|689439171" UniqueId="dae32e3f-24d4-4675-9401-233fbc0c37a8">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_dlc_DocId</segment>
          <segment type="literal">-v</segment>
          <segment type="metadata">_UIVersionString</segment>
        </label>
      </p:CustomData>
    </p:PolicyItem>
  </p:PolicyItems>
</p:Policy>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Receiver>
    <Name>DMA Social Events</Name>
    <Synchronization>Synchronous</Synchronization>
    <Type>10001</Type>
    <SequenceNumber>1001</SequenceNumber>
    <Assembly>MCS.Documents.Server.IA, Version=1.0.0.0, Culture=neutral, PublicKeyToken=203fdb9dda4562ff</Assembly>
    <Class>MCS.Documents.Server.IA.SocialDataReceiver</Class>
    <Data/>
    <Filter/>
  </Receiver>
  <Receiver>
    <Name>DMA Social Events</Name>
    <Synchronization>Synchronous</Synchronization>
    <Type>10002</Type>
    <SequenceNumber>1002</SequenceNumber>
    <Assembly>MCS.Documents.Server.IA, Version=1.0.0.0, Culture=neutral, PublicKeyToken=203fdb9dda4562ff</Assembly>
    <Class>MCS.Documents.Server.IA.SocialDataReceiver</Class>
    <Data/>
    <Filter/>
  </Receiver>
  <Receiver>
    <Name>DMA Social Events</Name>
    <Synchronization>Synchronous</Synchronization>
    <Type>10005</Type>
    <SequenceNumber>1003</SequenceNumber>
    <Assembly>MCS.Documents.Server.IA, Version=1.0.0.0, Culture=neutral, PublicKeyToken=203fdb9dda4562ff</Assembly>
    <Class>MCS.Documents.Server.IA.SocialDataReceiver</Class>
    <Data/>
    <Filter/>
  </Receiver>
  <Receiver>
    <Name>DMA Social Events</Name>
    <Synchronization>Synchronous</Synchronization>
    <Type>10004</Type>
    <SequenceNumber>1004</SequenceNumber>
    <Assembly>MCS.Documents.Server.IA, Version=1.0.0.0, Culture=neutral, PublicKeyToken=203fdb9dda4562ff</Assembly>
    <Class>MCS.Documents.Server.IA.SocialDataReceiver</Class>
    <Data/>
    <Filter/>
  </Receiver>
</spe:Receivers>
</file>

<file path=customXml/item6.xml><?xml version="1.0" encoding="utf-8"?>
<ct:contentTypeSchema xmlns:ct="http://schemas.microsoft.com/office/2006/metadata/contentType" xmlns:ma="http://schemas.microsoft.com/office/2006/metadata/properties/metaAttributes" ct:_="" ma:_="" ma:contentTypeName="Legal Document" ma:contentTypeID="0x01010066AAA4A189E15340A8F90A14B5E3178D010093B0E8CA13B14C41BAFE6564DDF24F70" ma:contentTypeVersion="10" ma:contentTypeDescription="Stores client and matter information common to all Legal Documents" ma:contentTypeScope="" ma:versionID="55d8de168f3016d4409b2f23f92bc6fa">
  <xsd:schema xmlns:xsd="http://www.w3.org/2001/XMLSchema" xmlns:xs="http://www.w3.org/2001/XMLSchema" xmlns:p="http://schemas.microsoft.com/office/2006/metadata/properties" xmlns:ns1="http://schemas.microsoft.com/sharepoint/v3" xmlns:ns2="http://schema.microsoft.com/sharepoint/v3/fields" xmlns:ns3="84e8189d-2f07-4d07-be7d-de46b9fe3006" xmlns:ns4="2346a981-3d4d-4356-9bea-698e0ff2abfd" xmlns:ns5="abe85721-301c-4cdd-bb97-abd071f66392" targetNamespace="http://schemas.microsoft.com/office/2006/metadata/properties" ma:root="true" ma:fieldsID="fa1843d975238ecc664f6d4a15c8169a" ns1:_="" ns2:_="" ns3:_="" ns4:_="" ns5:_="">
    <xsd:import namespace="http://schemas.microsoft.com/sharepoint/v3"/>
    <xsd:import namespace="http://schema.microsoft.com/sharepoint/v3/fields"/>
    <xsd:import namespace="84e8189d-2f07-4d07-be7d-de46b9fe3006"/>
    <xsd:import namespace="2346a981-3d4d-4356-9bea-698e0ff2abfd"/>
    <xsd:import namespace="abe85721-301c-4cdd-bb97-abd071f66392"/>
    <xsd:element name="properties">
      <xsd:complexType>
        <xsd:sequence>
          <xsd:element name="documentManagement">
            <xsd:complexType>
              <xsd:all>
                <xsd:element ref="ns2:DocumentOwner" minOccurs="0"/>
                <xsd:element ref="ns2:LegacyDocumentID" minOccurs="0"/>
                <xsd:element ref="ns2:LegacyInformation" minOccurs="0"/>
                <xsd:element ref="ns2:ConfigListSynch" minOccurs="0"/>
                <xsd:element ref="ns2:KeyDocument" minOccurs="0"/>
                <xsd:element ref="ns3:LegalTopicTaxHTField0" minOccurs="0"/>
                <xsd:element ref="ns3:LegalDocumentTypeTaxHTField0" minOccurs="0"/>
                <xsd:element ref="ns3:JurisdictionTaxHTField0" minOccurs="0"/>
                <xsd:element ref="ns2:MatterNumber" minOccurs="0"/>
                <xsd:element ref="ns2:MatterName" minOccurs="0"/>
                <xsd:element ref="ns2:MatterStatus" minOccurs="0"/>
                <xsd:element ref="ns2:ClientNumber" minOccurs="0"/>
                <xsd:element ref="ns2:ClientName" minOccurs="0"/>
                <xsd:element ref="ns2:ClientReference" minOccurs="0"/>
                <xsd:element ref="ns2:CCOffice" minOccurs="0"/>
                <xsd:element ref="ns2:PracticeArea" minOccurs="0"/>
                <xsd:element ref="ns2:PracticeGroup" minOccurs="0"/>
                <xsd:element ref="ns3:SectorTaxHTField0" minOccurs="0"/>
                <xsd:element ref="ns2:DocumentIcons" minOccurs="0"/>
                <xsd:element ref="ns3:_dlc_DocId" minOccurs="0"/>
                <xsd:element ref="ns3:_dlc_DocIdUrl" minOccurs="0"/>
                <xsd:element ref="ns3:_dlc_DocIdPersistId" minOccurs="0"/>
                <xsd:element ref="ns2:WorkType" minOccurs="0"/>
                <xsd:element ref="ns4:TaxCatchAll" minOccurs="0"/>
                <xsd:element ref="ns1:_dlc_Exempt" minOccurs="0"/>
                <xsd:element ref="ns5:DLCPolicyLabelValue" minOccurs="0"/>
                <xsd:element ref="ns5:DLCPolicyLabelClientValue" minOccurs="0"/>
                <xsd:element ref="ns5: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36"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microsoft.com/sharepoint/v3/fields" elementFormDefault="qualified">
    <xsd:import namespace="http://schemas.microsoft.com/office/2006/documentManagement/types"/>
    <xsd:import namespace="http://schemas.microsoft.com/office/infopath/2007/PartnerControls"/>
    <xsd:element name="DocumentOwner" ma:index="8" nillable="true" ma:displayName="Document Owner" ma:list="UserInfo" ma:internalName="Document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egacyDocumentID" ma:index="9" nillable="true" ma:displayName="Legacy Document ID" ma:hidden="true" ma:internalName="LegacyDocumentID">
      <xsd:simpleType>
        <xsd:restriction base="dms:Text">
          <xsd:maxLength value="255"/>
        </xsd:restriction>
      </xsd:simpleType>
    </xsd:element>
    <xsd:element name="LegacyInformation" ma:index="10" nillable="true" ma:displayName="Legacy Information" ma:hidden="true" ma:internalName="LegacyInformation">
      <xsd:simpleType>
        <xsd:restriction base="dms:Note"/>
      </xsd:simpleType>
    </xsd:element>
    <xsd:element name="ConfigListSynch" ma:index="11" nillable="true" ma:displayName="Config List Synch" ma:format="DateTime" ma:hidden="true" ma:internalName="ConfigListSynch">
      <xsd:simpleType>
        <xsd:restriction base="dms:DateTime"/>
      </xsd:simpleType>
    </xsd:element>
    <xsd:element name="KeyDocument" ma:index="12" nillable="true" ma:displayName="Key Document" ma:default="0" ma:internalName="KeyDocument">
      <xsd:simpleType>
        <xsd:restriction base="dms:Boolean"/>
      </xsd:simpleType>
    </xsd:element>
    <xsd:element name="MatterNumber" ma:index="19" nillable="true" ma:displayName="Matter Number" ma:default="CN-2000-02-OFF2" ma:hidden="true" ma:internalName="MatterNumber">
      <xsd:simpleType>
        <xsd:restriction base="dms:Text">
          <xsd:maxLength value="15"/>
        </xsd:restriction>
      </xsd:simpleType>
    </xsd:element>
    <xsd:element name="MatterName" ma:index="20" nillable="true" ma:displayName="Matter Name" ma:default="Corporate office documents 2015" ma:hidden="true" ma:internalName="MatterName">
      <xsd:simpleType>
        <xsd:restriction base="dms:Text">
          <xsd:maxLength value="255"/>
        </xsd:restriction>
      </xsd:simpleType>
    </xsd:element>
    <xsd:element name="MatterStatus" ma:index="21" nillable="true" ma:displayName="Matter Status" ma:default="Current" ma:hidden="true" ma:internalName="MatterStatus">
      <xsd:simpleType>
        <xsd:restriction base="dms:Choice">
          <xsd:enumeration value="Current"/>
          <xsd:enumeration value="Dormant"/>
        </xsd:restriction>
      </xsd:simpleType>
    </xsd:element>
    <xsd:element name="ClientNumber" ma:index="22" nillable="true" ma:displayName="Client Number" ma:hidden="true" ma:internalName="ClientNumber">
      <xsd:simpleType>
        <xsd:restriction base="dms:Text">
          <xsd:maxLength value="50"/>
        </xsd:restriction>
      </xsd:simpleType>
    </xsd:element>
    <xsd:element name="ClientName" ma:index="23" nillable="true" ma:displayName="Client Name" ma:hidden="true" ma:internalName="ClientName">
      <xsd:simpleType>
        <xsd:restriction base="dms:Text">
          <xsd:maxLength value="255"/>
        </xsd:restriction>
      </xsd:simpleType>
    </xsd:element>
    <xsd:element name="ClientReference" ma:index="24" nillable="true" ma:displayName="Client Reference" ma:hidden="true" ma:internalName="ClientReference">
      <xsd:simpleType>
        <xsd:restriction base="dms:Text">
          <xsd:maxLength value="255"/>
        </xsd:restriction>
      </xsd:simpleType>
    </xsd:element>
    <xsd:element name="CCOffice" ma:index="25" nillable="true" ma:displayName="CC Office" ma:default="Beijing" ma:hidden="true" ma:internalName="CCOffice">
      <xsd:simpleType>
        <xsd:restriction base="dms:Text">
          <xsd:maxLength value="255"/>
        </xsd:restriction>
      </xsd:simpleType>
    </xsd:element>
    <xsd:element name="PracticeArea" ma:index="26" nillable="true" ma:displayName="Practice Area" ma:default="Corporate" ma:hidden="true" ma:internalName="PracticeArea">
      <xsd:simpleType>
        <xsd:restriction base="dms:Text">
          <xsd:maxLength value="255"/>
        </xsd:restriction>
      </xsd:simpleType>
    </xsd:element>
    <xsd:element name="PracticeGroup" ma:index="27" nillable="true" ma:displayName="Practice Group" ma:default="Corporate Group" ma:hidden="true" ma:internalName="PracticeGroup">
      <xsd:simpleType>
        <xsd:restriction base="dms:Text">
          <xsd:maxLength value="255"/>
        </xsd:restriction>
      </xsd:simpleType>
    </xsd:element>
    <xsd:element name="DocumentIcons" ma:index="30" nillable="true" ma:displayName="Relationship Icons" ma:internalName="DocumentIcons" ma:readOnly="true">
      <xsd:simpleType>
        <xsd:restriction base="dms:Note"/>
      </xsd:simpleType>
    </xsd:element>
    <xsd:element name="WorkType" ma:index="34" nillable="true" ma:displayName="Work Type" ma:internalName="WorkTyp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e8189d-2f07-4d07-be7d-de46b9fe3006" elementFormDefault="qualified">
    <xsd:import namespace="http://schemas.microsoft.com/office/2006/documentManagement/types"/>
    <xsd:import namespace="http://schemas.microsoft.com/office/infopath/2007/PartnerControls"/>
    <xsd:element name="LegalTopicTaxHTField0" ma:index="13" nillable="true" ma:taxonomy="true" ma:internalName="LegalTopicTaxHTField0" ma:taxonomyFieldName="LegalTopic" ma:displayName="Legal Topic" ma:fieldId="{298694be-6880-4cab-a213-05b418c55f8d}" ma:taxonomyMulti="true" ma:sspId="da97c454-82a7-458e-b02b-a23c149c4c8f" ma:termSetId="4eade391-4385-4947-91c4-c7e0045c62f5" ma:anchorId="00000000-0000-0000-0000-000000000000" ma:open="false" ma:isKeyword="false">
      <xsd:complexType>
        <xsd:sequence>
          <xsd:element ref="pc:Terms" minOccurs="0" maxOccurs="1"/>
        </xsd:sequence>
      </xsd:complexType>
    </xsd:element>
    <xsd:element name="LegalDocumentTypeTaxHTField0" ma:index="15" nillable="true" ma:taxonomy="true" ma:internalName="LegalDocumentTypeTaxHTField0" ma:taxonomyFieldName="LegalDocumentType" ma:displayName="Legal Document Type" ma:fieldId="{cee04788-c694-4d93-868f-7a1bb6a22dc9}" ma:taxonomyMulti="true" ma:sspId="da97c454-82a7-458e-b02b-a23c149c4c8f" ma:termSetId="3893581f-22c8-437d-8e06-6a9355261526" ma:anchorId="00000000-0000-0000-0000-000000000000" ma:open="false" ma:isKeyword="false">
      <xsd:complexType>
        <xsd:sequence>
          <xsd:element ref="pc:Terms" minOccurs="0" maxOccurs="1"/>
        </xsd:sequence>
      </xsd:complexType>
    </xsd:element>
    <xsd:element name="JurisdictionTaxHTField0" ma:index="17" nillable="true" ma:taxonomy="true" ma:internalName="JurisdictionTaxHTField0" ma:taxonomyFieldName="Jurisdiction" ma:displayName="Jurisdiction" ma:fieldId="{9a9a92f4-56e3-4d35-a012-d7b34af74b8b}" ma:sspId="da97c454-82a7-458e-b02b-a23c149c4c8f" ma:termSetId="fb719a8b-b148-4c96-bf3d-16d5d6b87eba" ma:anchorId="00000000-0000-0000-0000-000000000000" ma:open="false" ma:isKeyword="false">
      <xsd:complexType>
        <xsd:sequence>
          <xsd:element ref="pc:Terms" minOccurs="0" maxOccurs="1"/>
        </xsd:sequence>
      </xsd:complexType>
    </xsd:element>
    <xsd:element name="SectorTaxHTField0" ma:index="28" nillable="true" ma:taxonomy="true" ma:internalName="SectorTaxHTField0" ma:taxonomyFieldName="Sector" ma:displayName="Sector" ma:default="" ma:fieldId="{593f98d8-f2a9-43f5-ba02-84af10bfacc9}" ma:sspId="da97c454-82a7-458e-b02b-a23c149c4c8f" ma:termSetId="ecebdddb-d213-4950-88a7-c092025248aa" ma:anchorId="00000000-0000-0000-0000-000000000000" ma:open="false" ma:isKeyword="false">
      <xsd:complexType>
        <xsd:sequence>
          <xsd:element ref="pc:Terms" minOccurs="0" maxOccurs="1"/>
        </xsd:sequence>
      </xsd:complexType>
    </xsd:element>
    <xsd:element name="_dlc_DocId" ma:index="31" nillable="true" ma:displayName="Document ID Value" ma:description="The value of the document ID assigned to this item." ma:internalName="_dlc_DocId" ma:readOnly="true">
      <xsd:simpleType>
        <xsd:restriction base="dms:Text"/>
      </xsd:simpleType>
    </xsd:element>
    <xsd:element name="_dlc_DocIdUrl" ma:index="3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3"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2346a981-3d4d-4356-9bea-698e0ff2abfd" elementFormDefault="qualified">
    <xsd:import namespace="http://schemas.microsoft.com/office/2006/documentManagement/types"/>
    <xsd:import namespace="http://schemas.microsoft.com/office/infopath/2007/PartnerControls"/>
    <xsd:element name="TaxCatchAll" ma:index="35" nillable="true" ma:displayName="Taxonomy Catch All Column" ma:hidden="true" ma:list="{99a01833-94aa-498a-b909-6e06adff7963}" ma:internalName="TaxCatchAll" ma:showField="CatchAllData" ma:web="2346a981-3d4d-4356-9bea-698e0ff2abf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be85721-301c-4cdd-bb97-abd071f66392" elementFormDefault="qualified">
    <xsd:import namespace="http://schemas.microsoft.com/office/2006/documentManagement/types"/>
    <xsd:import namespace="http://schemas.microsoft.com/office/infopath/2007/PartnerControls"/>
    <xsd:element name="DLCPolicyLabelValue" ma:index="37"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38"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9"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8.xml><?xml version="1.0" encoding="utf-8"?>
<p:properties xmlns:p="http://schemas.microsoft.com/office/2006/metadata/properties" xmlns:xsi="http://www.w3.org/2001/XMLSchema-instance" xmlns:pc="http://schemas.microsoft.com/office/infopath/2007/PartnerControls">
  <documentManagement>
    <LegacyInformation xmlns="http://schema.microsoft.com/sharepoint/v3/fields" xsi:nil="true"/>
    <MatterName xmlns="http://schema.microsoft.com/sharepoint/v3/fields">Corporate office documents 2015</MatterName>
    <LegalTopicTaxHTField0 xmlns="84e8189d-2f07-4d07-be7d-de46b9fe3006">
      <Terms xmlns="http://schemas.microsoft.com/office/infopath/2007/PartnerControls"/>
    </LegalTopicTaxHTField0>
    <JurisdictionTaxHTField0 xmlns="84e8189d-2f07-4d07-be7d-de46b9fe3006">
      <Terms xmlns="http://schemas.microsoft.com/office/infopath/2007/PartnerControls"/>
    </JurisdictionTaxHTField0>
    <ClientNumber xmlns="http://schema.microsoft.com/sharepoint/v3/fields" xsi:nil="true"/>
    <DLCPolicyLabelClientValue xmlns="abe85721-301c-4cdd-bb97-abd071f66392">516440-4-9814-v{_UIVersionString}</DLCPolicyLabelClientValue>
    <KeyDocument xmlns="http://schema.microsoft.com/sharepoint/v3/fields">false</KeyDocument>
    <ClientReference xmlns="http://schema.microsoft.com/sharepoint/v3/fields" xsi:nil="true"/>
    <WorkType xmlns="http://schema.microsoft.com/sharepoint/v3/fields" xsi:nil="true"/>
    <LegacyDocumentID xmlns="http://schema.microsoft.com/sharepoint/v3/fields" xsi:nil="true"/>
    <ClientName xmlns="http://schema.microsoft.com/sharepoint/v3/fields" xsi:nil="true"/>
    <ConfigListSynch xmlns="http://schema.microsoft.com/sharepoint/v3/fields">2019-08-30T15:39:11+00:00</ConfigListSynch>
    <CCOffice xmlns="http://schema.microsoft.com/sharepoint/v3/fields">Beijing</CCOffice>
    <TaxCatchAll xmlns="2346a981-3d4d-4356-9bea-698e0ff2abfd"/>
    <LegalDocumentTypeTaxHTField0 xmlns="84e8189d-2f07-4d07-be7d-de46b9fe3006">
      <Terms xmlns="http://schemas.microsoft.com/office/infopath/2007/PartnerControls"/>
    </LegalDocumentTypeTaxHTField0>
    <SectorTaxHTField0 xmlns="84e8189d-2f07-4d07-be7d-de46b9fe3006">
      <Terms xmlns="http://schemas.microsoft.com/office/infopath/2007/PartnerControls"/>
    </SectorTaxHTField0>
    <DocumentOwner xmlns="http://schema.microsoft.com/sharepoint/v3/fields">
      <UserInfo>
        <DisplayName>Wang, Pengfei (Antitrust-BEI)</DisplayName>
        <AccountId>1301</AccountId>
        <AccountType/>
      </UserInfo>
    </DocumentOwner>
    <MatterStatus xmlns="http://schema.microsoft.com/sharepoint/v3/fields">Current</MatterStatus>
    <MatterNumber xmlns="http://schema.microsoft.com/sharepoint/v3/fields">CN-2000-02-OFF2</MatterNumber>
    <PracticeArea xmlns="http://schema.microsoft.com/sharepoint/v3/fields">Corporate</PracticeArea>
    <PracticeGroup xmlns="http://schema.microsoft.com/sharepoint/v3/fields">Corporate Group</PracticeGroup>
    <DLCPolicyLabelLock xmlns="abe85721-301c-4cdd-bb97-abd071f66392" xsi:nil="true"/>
    <_dlc_DocId xmlns="84e8189d-2f07-4d07-be7d-de46b9fe3006">516440-4-9814</_dlc_DocId>
    <_dlc_DocIdUrl xmlns="84e8189d-2f07-4d07-be7d-de46b9fe3006">
      <Url>http://spr3.intranet.cliffordchance.com/sites/CN-2000-02-OFF2/_layouts/DocIdRedir.aspx?ID=516440-4-9814</Url>
      <Description>516440-4-9814</Description>
    </_dlc_DocIdUrl>
    <DLCPolicyLabelValue xmlns="abe85721-301c-4cdd-bb97-abd071f66392">516440-4-9814-v0.2</DLCPolicyLabelValue>
  </documentManagement>
</p:properties>
</file>

<file path=customXml/itemProps1.xml><?xml version="1.0" encoding="utf-8"?>
<ds:datastoreItem xmlns:ds="http://schemas.openxmlformats.org/officeDocument/2006/customXml" ds:itemID="{E6DC8E71-FEF7-4D85-B1C1-E7FFFA3B6075}">
  <ds:schemaRefs>
    <ds:schemaRef ds:uri="http://www.imanage.com/work/xmlschema"/>
  </ds:schemaRefs>
</ds:datastoreItem>
</file>

<file path=customXml/itemProps2.xml><?xml version="1.0" encoding="utf-8"?>
<ds:datastoreItem xmlns:ds="http://schemas.openxmlformats.org/officeDocument/2006/customXml" ds:itemID="{832D90BB-58AE-425B-9C28-9DAF98060895}">
  <ds:schemaRefs>
    <ds:schemaRef ds:uri="Microsoft.SharePoint.Taxonomy.ContentTypeSync"/>
  </ds:schemaRefs>
</ds:datastoreItem>
</file>

<file path=customXml/itemProps3.xml><?xml version="1.0" encoding="utf-8"?>
<ds:datastoreItem xmlns:ds="http://schemas.openxmlformats.org/officeDocument/2006/customXml" ds:itemID="{543E1638-0D33-4AD6-9DA5-127EFD9D8B80}">
  <ds:schemaRefs>
    <ds:schemaRef ds:uri="office.server.policy"/>
  </ds:schemaRefs>
</ds:datastoreItem>
</file>

<file path=customXml/itemProps4.xml><?xml version="1.0" encoding="utf-8"?>
<ds:datastoreItem xmlns:ds="http://schemas.openxmlformats.org/officeDocument/2006/customXml" ds:itemID="{8136E086-62D4-4DEF-BA3C-9336C271C4C0}">
  <ds:schemaRefs>
    <ds:schemaRef ds:uri="http://schemas.microsoft.com/sharepoint/v3/contenttype/forms"/>
  </ds:schemaRefs>
</ds:datastoreItem>
</file>

<file path=customXml/itemProps5.xml><?xml version="1.0" encoding="utf-8"?>
<ds:datastoreItem xmlns:ds="http://schemas.openxmlformats.org/officeDocument/2006/customXml" ds:itemID="{323A3D86-E01D-4A56-84B2-246EC69D1318}">
  <ds:schemaRefs>
    <ds:schemaRef ds:uri="http://schemas.microsoft.com/sharepoint/events"/>
  </ds:schemaRefs>
</ds:datastoreItem>
</file>

<file path=customXml/itemProps6.xml><?xml version="1.0" encoding="utf-8"?>
<ds:datastoreItem xmlns:ds="http://schemas.openxmlformats.org/officeDocument/2006/customXml" ds:itemID="{529C6EEE-03E7-4FD3-9602-3673F4413C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microsoft.com/sharepoint/v3/fields"/>
    <ds:schemaRef ds:uri="84e8189d-2f07-4d07-be7d-de46b9fe3006"/>
    <ds:schemaRef ds:uri="2346a981-3d4d-4356-9bea-698e0ff2abfd"/>
    <ds:schemaRef ds:uri="abe85721-301c-4cdd-bb97-abd071f663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EC353E08-2663-4CDC-A8CB-6115AB545A17}">
  <ds:schemaRefs>
    <ds:schemaRef ds:uri="http://schemas.openxmlformats.org/officeDocument/2006/bibliography"/>
  </ds:schemaRefs>
</ds:datastoreItem>
</file>

<file path=customXml/itemProps8.xml><?xml version="1.0" encoding="utf-8"?>
<ds:datastoreItem xmlns:ds="http://schemas.openxmlformats.org/officeDocument/2006/customXml" ds:itemID="{B9BCE6D0-F6FC-40C8-8194-DD1F6E81736F}">
  <ds:schemaRefs>
    <ds:schemaRef ds:uri="http://schemas.microsoft.com/office/2006/metadata/properties"/>
    <ds:schemaRef ds:uri="http://schemas.microsoft.com/office/infopath/2007/PartnerControls"/>
    <ds:schemaRef ds:uri="http://schema.microsoft.com/sharepoint/v3/fields"/>
    <ds:schemaRef ds:uri="84e8189d-2f07-4d07-be7d-de46b9fe3006"/>
    <ds:schemaRef ds:uri="abe85721-301c-4cdd-bb97-abd071f66392"/>
    <ds:schemaRef ds:uri="2346a981-3d4d-4356-9bea-698e0ff2abf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699</Words>
  <Characters>94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Pengfei (Intern-BEI)</dc:creator>
  <cp:keywords/>
  <dc:description/>
  <cp:lastModifiedBy>Clifford Chance Beijing</cp:lastModifiedBy>
  <cp:revision>14</cp:revision>
  <dcterms:created xsi:type="dcterms:W3CDTF">2025-02-11T06:31:00Z</dcterms:created>
  <dcterms:modified xsi:type="dcterms:W3CDTF">2025-04-01T02:31:00Z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CLanguage">
    <vt:lpwstr>en-GB</vt:lpwstr>
  </property>
  <property fmtid="{D5CDD505-2E9C-101B-9397-08002B2CF9AE}" pid="3" name="CCOffice">
    <vt:lpwstr>ln</vt:lpwstr>
  </property>
  <property fmtid="{D5CDD505-2E9C-101B-9397-08002B2CF9AE}" pid="4" name="ContentTypeId">
    <vt:lpwstr>0x01010066AAA4A189E15340A8F90A14B5E3178D010093B0E8CA13B14C41BAFE6564DDF24F70</vt:lpwstr>
  </property>
  <property fmtid="{D5CDD505-2E9C-101B-9397-08002B2CF9AE}" pid="5" name="Jurisdiction">
    <vt:lpwstr/>
  </property>
  <property fmtid="{D5CDD505-2E9C-101B-9397-08002B2CF9AE}" pid="6" name="LegalDocumentType">
    <vt:lpwstr/>
  </property>
  <property fmtid="{D5CDD505-2E9C-101B-9397-08002B2CF9AE}" pid="7" name="_dlc_DocIdItemGuid">
    <vt:lpwstr>1cbaef6c-356b-47f9-8544-af48a221c02d</vt:lpwstr>
  </property>
  <property fmtid="{D5CDD505-2E9C-101B-9397-08002B2CF9AE}" pid="8" name="LegalTopic">
    <vt:lpwstr/>
  </property>
  <property fmtid="{D5CDD505-2E9C-101B-9397-08002B2CF9AE}" pid="9" name="GrammarlyDocumentId">
    <vt:lpwstr>d1f1faed70778304323e9b458ab9a174a2fafd3e58824c22c634cba0b0e9f08a</vt:lpwstr>
  </property>
  <property fmtid="{D5CDD505-2E9C-101B-9397-08002B2CF9AE}" pid="10" name="DOCXDOCID">
    <vt:lpwstr>Project Mango - Public notice form for simple case - CN - 11/02/2025 15:11:13</vt:lpwstr>
  </property>
  <property fmtid="{D5CDD505-2E9C-101B-9397-08002B2CF9AE}" pid="11" name="CCDocID">
    <vt:lpwstr>30079763653-v1</vt:lpwstr>
  </property>
  <property fmtid="{D5CDD505-2E9C-101B-9397-08002B2CF9AE}" pid="12" name="CCMatter">
    <vt:lpwstr>15-41084674</vt:lpwstr>
  </property>
</Properties>
</file>