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12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eastAsia="黑体" w:cs="黑体"/>
          <w:bCs/>
          <w:sz w:val="36"/>
          <w:szCs w:val="36"/>
        </w:rPr>
      </w:pPr>
      <w:bookmarkStart w:id="0" w:name="_GoBack"/>
      <w:r>
        <w:rPr>
          <w:rFonts w:hint="eastAsia" w:eastAsia="黑体" w:cs="黑体"/>
          <w:bCs/>
          <w:sz w:val="36"/>
          <w:szCs w:val="36"/>
        </w:rPr>
        <w:t>经营者集中简易案件公示表</w:t>
      </w:r>
    </w:p>
    <w:bookmarkEnd w:id="0"/>
    <w:tbl>
      <w:tblPr>
        <w:tblStyle w:val="5"/>
        <w:tblW w:w="8952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438"/>
        <w:gridCol w:w="5633"/>
      </w:tblGrid>
      <w:tr w14:paraId="7DCB5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1881" w:type="dxa"/>
            <w:shd w:val="clear" w:color="auto" w:fill="auto"/>
            <w:vAlign w:val="center"/>
          </w:tcPr>
          <w:p w14:paraId="24DABE85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071" w:type="dxa"/>
            <w:gridSpan w:val="2"/>
            <w:vAlign w:val="center"/>
          </w:tcPr>
          <w:p w14:paraId="563DA45D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eastAsia" w:eastAsia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bidi="ar-SA"/>
              </w:rPr>
              <w:t>巴克曼PPC中级有限责任公司收购巴克曼实验室控股有限公司股权案</w:t>
            </w:r>
            <w:r>
              <w:rPr>
                <w:rFonts w:hint="eastAsia"/>
                <w:sz w:val="24"/>
                <w:szCs w:val="24"/>
                <w:lang w:val="en-US" w:eastAsia="zh-CN" w:bidi="ar-SA"/>
              </w:rPr>
              <w:t>（“本次交易”）</w:t>
            </w:r>
          </w:p>
        </w:tc>
      </w:tr>
      <w:tr w14:paraId="55FA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4" w:hRule="atLeast"/>
        </w:trPr>
        <w:tc>
          <w:tcPr>
            <w:tcW w:w="1881" w:type="dxa"/>
            <w:shd w:val="clear" w:color="auto" w:fill="auto"/>
            <w:vAlign w:val="center"/>
          </w:tcPr>
          <w:p w14:paraId="5539B23E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交易概况（限200字内）</w:t>
            </w:r>
          </w:p>
        </w:tc>
        <w:tc>
          <w:tcPr>
            <w:tcW w:w="7071" w:type="dxa"/>
            <w:gridSpan w:val="2"/>
            <w:vAlign w:val="center"/>
          </w:tcPr>
          <w:p w14:paraId="153E64F5">
            <w:pPr>
              <w:pStyle w:val="7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beforeAutospacing="0" w:afterAutospacing="0" w:line="360" w:lineRule="exact"/>
              <w:ind w:left="0" w:right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巴克曼PPC中级有限责任公司（“PPC中级公司”）与巴克曼实验室控股有限公司（“巴克曼公司”）签署协议，PPC中级公司收购巴克曼公司100%的股权。交易前，巴克曼公司无最终控制人。交易后，PPC中级公司将持有巴克曼公司100%的股权，单独控制巴克曼公司。</w:t>
            </w:r>
          </w:p>
        </w:tc>
      </w:tr>
      <w:tr w14:paraId="7B353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2" w:hRule="atLeast"/>
        </w:trPr>
        <w:tc>
          <w:tcPr>
            <w:tcW w:w="1881" w:type="dxa"/>
            <w:vMerge w:val="restart"/>
            <w:shd w:val="clear" w:color="auto" w:fill="auto"/>
            <w:vAlign w:val="center"/>
          </w:tcPr>
          <w:p w14:paraId="688DD237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参与集中的经营者简介（每个限</w:t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100字以内</w:t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1438" w:type="dxa"/>
            <w:vAlign w:val="center"/>
          </w:tcPr>
          <w:p w14:paraId="0F5AC210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cs="Times New Roman"/>
                <w:bCs/>
                <w:color w:val="000000"/>
                <w:sz w:val="24"/>
                <w:szCs w:val="24"/>
                <w:lang w:val="en-US" w:eastAsia="zh-CN"/>
              </w:rPr>
              <w:t>PPC中级公司</w:t>
            </w:r>
          </w:p>
        </w:tc>
        <w:tc>
          <w:tcPr>
            <w:tcW w:w="5633" w:type="dxa"/>
            <w:vAlign w:val="center"/>
          </w:tcPr>
          <w:p w14:paraId="05548B8F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 w:eastAsia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 w:bidi="ar-SA"/>
              </w:rPr>
              <w:t>PPC中级公司于2025年1月22日成立于美国，是专为本次交易设立的持股平台，不从事任何实际业务。</w:t>
            </w:r>
          </w:p>
          <w:p w14:paraId="5D00A53F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 w:bidi="ar-SA"/>
              </w:rPr>
              <w:t>PPC中级公司最终控制人为PPC管理有限责任公司，主要业务为工业产品及服务型企业的直接投资与合作。</w:t>
            </w:r>
          </w:p>
        </w:tc>
      </w:tr>
      <w:tr w14:paraId="54ED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3" w:hRule="atLeast"/>
        </w:trPr>
        <w:tc>
          <w:tcPr>
            <w:tcW w:w="1881" w:type="dxa"/>
            <w:vMerge w:val="continue"/>
            <w:shd w:val="clear" w:color="auto" w:fill="auto"/>
            <w:vAlign w:val="center"/>
          </w:tcPr>
          <w:p w14:paraId="2D6439C7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38" w:type="dxa"/>
            <w:vAlign w:val="center"/>
          </w:tcPr>
          <w:p w14:paraId="472CD28F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4"/>
                <w:szCs w:val="24"/>
                <w:lang w:val="en-US" w:eastAsia="zh-CN"/>
              </w:rPr>
              <w:t>巴克曼公司</w:t>
            </w:r>
          </w:p>
        </w:tc>
        <w:tc>
          <w:tcPr>
            <w:tcW w:w="5633" w:type="dxa"/>
            <w:vAlign w:val="center"/>
          </w:tcPr>
          <w:p w14:paraId="54E405B9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eastAsia"/>
                <w:sz w:val="24"/>
                <w:szCs w:val="24"/>
                <w:lang w:val="en-US" w:bidi="ar-SA"/>
              </w:rPr>
            </w:pPr>
            <w:r>
              <w:rPr>
                <w:rFonts w:hint="eastAsia"/>
                <w:sz w:val="24"/>
                <w:szCs w:val="24"/>
                <w:lang w:val="en-US" w:bidi="ar-SA"/>
              </w:rPr>
              <w:t>巴克曼公司于1947年12月14日成立于美国，主要业务为生物杀菌剂的生产，产品广泛应用于全球的纸品市场及纸包装、水处理和皮革加工市场。</w:t>
            </w:r>
          </w:p>
          <w:p w14:paraId="12C65E3F"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bidi="ar-SA"/>
              </w:rPr>
              <w:t>巴克曼公司无最终控制人。</w:t>
            </w:r>
          </w:p>
        </w:tc>
      </w:tr>
      <w:tr w14:paraId="7ED0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81" w:type="dxa"/>
            <w:vMerge w:val="restart"/>
            <w:shd w:val="clear" w:color="auto" w:fill="auto"/>
            <w:vAlign w:val="center"/>
          </w:tcPr>
          <w:p w14:paraId="4833E9F2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>简易案件理由（可以单选，也可以多选）</w:t>
            </w:r>
          </w:p>
        </w:tc>
        <w:tc>
          <w:tcPr>
            <w:tcW w:w="7071" w:type="dxa"/>
            <w:gridSpan w:val="2"/>
            <w:vAlign w:val="center"/>
          </w:tcPr>
          <w:p w14:paraId="1B065384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sz w:val="24"/>
                <w:szCs w:val="24"/>
              </w:rPr>
              <w:sym w:font="Wingdings" w:char="F0FE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14:paraId="35FCB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81" w:type="dxa"/>
            <w:vMerge w:val="continue"/>
            <w:shd w:val="clear" w:color="auto" w:fill="auto"/>
            <w:vAlign w:val="center"/>
          </w:tcPr>
          <w:p w14:paraId="1A70904B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71" w:type="dxa"/>
            <w:gridSpan w:val="2"/>
            <w:vAlign w:val="center"/>
          </w:tcPr>
          <w:p w14:paraId="0BFD32A4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sz w:val="24"/>
                <w:szCs w:val="24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14:paraId="2C19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1" w:type="dxa"/>
            <w:vMerge w:val="continue"/>
            <w:shd w:val="clear" w:color="auto" w:fill="auto"/>
            <w:vAlign w:val="center"/>
          </w:tcPr>
          <w:p w14:paraId="5AFB33AE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71" w:type="dxa"/>
            <w:gridSpan w:val="2"/>
            <w:vAlign w:val="center"/>
          </w:tcPr>
          <w:p w14:paraId="2F50145C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FE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3A04C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81" w:type="dxa"/>
            <w:vMerge w:val="continue"/>
            <w:shd w:val="clear" w:color="auto" w:fill="auto"/>
            <w:vAlign w:val="center"/>
          </w:tcPr>
          <w:p w14:paraId="56E45075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71" w:type="dxa"/>
            <w:gridSpan w:val="2"/>
            <w:vAlign w:val="center"/>
          </w:tcPr>
          <w:p w14:paraId="2A83A844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6EFE0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81" w:type="dxa"/>
            <w:vMerge w:val="continue"/>
            <w:shd w:val="clear" w:color="auto" w:fill="auto"/>
            <w:vAlign w:val="center"/>
          </w:tcPr>
          <w:p w14:paraId="43239687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71" w:type="dxa"/>
            <w:gridSpan w:val="2"/>
            <w:vAlign w:val="center"/>
          </w:tcPr>
          <w:p w14:paraId="6A62CA29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7A605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81" w:type="dxa"/>
            <w:vMerge w:val="continue"/>
            <w:shd w:val="clear" w:color="auto" w:fill="auto"/>
            <w:vAlign w:val="center"/>
          </w:tcPr>
          <w:p w14:paraId="1988F9C9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7071" w:type="dxa"/>
            <w:gridSpan w:val="2"/>
            <w:vAlign w:val="center"/>
          </w:tcPr>
          <w:p w14:paraId="21F50CDE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sym w:font="Wingdings" w:char="00A8"/>
            </w:r>
            <w:r>
              <w:rPr>
                <w:rFonts w:hint="default" w:cs="Times New Roman"/>
                <w:bCs/>
                <w:color w:val="000000"/>
                <w:sz w:val="24"/>
                <w:szCs w:val="24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63A1F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881" w:type="dxa"/>
            <w:shd w:val="clear" w:color="auto" w:fill="auto"/>
            <w:vAlign w:val="center"/>
          </w:tcPr>
          <w:p w14:paraId="6CF9584F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sz w:val="24"/>
                <w:szCs w:val="24"/>
                <w:lang w:val="en-US" w:eastAsia="zh-CN"/>
              </w:rPr>
              <w:t>备注</w:t>
            </w:r>
          </w:p>
        </w:tc>
        <w:tc>
          <w:tcPr>
            <w:tcW w:w="7071" w:type="dxa"/>
            <w:gridSpan w:val="2"/>
            <w:vAlign w:val="center"/>
          </w:tcPr>
          <w:p w14:paraId="037C12CB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横向重叠：</w:t>
            </w:r>
          </w:p>
          <w:p w14:paraId="5A05A53D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2024年全球ASA施胶剂市场：</w:t>
            </w:r>
          </w:p>
          <w:p w14:paraId="28157617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PPC中级公司：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0-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5%，巴克曼公司：0-5%，各方合计：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0-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5%</w:t>
            </w:r>
          </w:p>
          <w:p w14:paraId="63417AD4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/>
                <w:bCs/>
                <w:sz w:val="24"/>
                <w:szCs w:val="24"/>
                <w:lang w:eastAsia="zh-CN"/>
              </w:rPr>
            </w:pPr>
          </w:p>
          <w:p w14:paraId="24FB1228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混合集中：</w:t>
            </w:r>
          </w:p>
          <w:p w14:paraId="754F7803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2024年中国境内非离子表面活性剂市场：</w:t>
            </w:r>
          </w:p>
          <w:p w14:paraId="6B5C0802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巴克曼公司：0-5%</w:t>
            </w:r>
          </w:p>
          <w:p w14:paraId="7E2D81BE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2024年全球硫酸铵市场：</w:t>
            </w:r>
          </w:p>
          <w:p w14:paraId="6823EA7F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巴克曼公司：0-5%</w:t>
            </w:r>
          </w:p>
          <w:p w14:paraId="49890AD3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2024年全球螯合剂市场：</w:t>
            </w:r>
          </w:p>
          <w:p w14:paraId="4DDF51D1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巴克曼公司：0-5%</w:t>
            </w:r>
          </w:p>
          <w:p w14:paraId="0DCF66B9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2024年中国境内CMIT/MIT市场：</w:t>
            </w:r>
          </w:p>
          <w:p w14:paraId="728DD5A4">
            <w:pPr>
              <w:pStyle w:val="3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lang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lang w:eastAsia="zh-CN"/>
              </w:rPr>
              <w:t>巴克曼公司：5-10%</w:t>
            </w:r>
          </w:p>
        </w:tc>
      </w:tr>
    </w:tbl>
    <w:p w14:paraId="1FAE6E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EC2A0C"/>
    <w:rsid w:val="68EC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3">
    <w:name w:val="Body Text"/>
    <w:basedOn w:val="1"/>
    <w:next w:val="4"/>
    <w:unhideWhenUsed/>
    <w:qFormat/>
    <w:uiPriority w:val="99"/>
    <w:pPr>
      <w:spacing w:after="120"/>
    </w:pPr>
  </w:style>
  <w:style w:type="paragraph" w:styleId="4">
    <w:name w:val="Body Text First Indent"/>
    <w:qFormat/>
    <w:uiPriority w:val="0"/>
    <w:pPr>
      <w:keepNext w:val="0"/>
      <w:keepLines w:val="0"/>
      <w:widowControl w:val="0"/>
      <w:suppressLineNumbers w:val="0"/>
      <w:spacing w:after="120" w:afterAutospacing="0"/>
      <w:ind w:firstLine="420" w:firstLineChars="100"/>
      <w:jc w:val="both"/>
    </w:pPr>
    <w:rPr>
      <w:rFonts w:hint="default" w:ascii="Times New Roman" w:hAnsi="Times New Roman" w:eastAsia="宋体" w:cs="Times New Roman"/>
      <w:kern w:val="2"/>
      <w:sz w:val="21"/>
      <w:szCs w:val="21"/>
      <w:lang w:val="en-US" w:eastAsia="zh-CN" w:bidi="ar"/>
    </w:rPr>
  </w:style>
  <w:style w:type="paragraph" w:customStyle="1" w:styleId="7">
    <w:name w:val="Table Paragraph"/>
    <w:basedOn w:val="1"/>
    <w:qFormat/>
    <w:uiPriority w:val="1"/>
    <w:pPr>
      <w:widowControl w:val="0"/>
      <w:autoSpaceDE w:val="0"/>
      <w:autoSpaceDN w:val="0"/>
      <w:spacing w:after="0"/>
      <w:jc w:val="left"/>
    </w:pPr>
    <w:rPr>
      <w:rFonts w:ascii="微软雅黑" w:hAnsi="微软雅黑" w:eastAsia="微软雅黑" w:cs="微软雅黑"/>
      <w:sz w:val="22"/>
      <w:szCs w:val="22"/>
      <w:lang w:val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2025-05-28T01:49:00Z</dcterms:created>
  <dc:creator>胡翌婧</dc:creator>
  <cp:lastModifiedBy>胡翌婧</cp:lastModifiedBy>
  <dcterms:modified xsi:type="dcterms:W3CDTF">2025-05-28T01:49:39Z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F12499124C204802954A6FBBA5E3E0DD_11</vt:lpwstr>
  </property>
  <property fmtid="{D5CDD505-2E9C-101B-9397-08002B2CF9AE}" pid="4" name="KSOTemplateDocerSaveRecord">
    <vt:lpwstr>eyJoZGlkIjoiODNjM2VkZWUwYjdkZDYzZGY2NmZiZGNiZGIyMjFjYWIiLCJ1c2VySWQiOiIyNDQ2MzYxMzgifQ==</vt:lpwstr>
  </property>
</Properties>
</file>