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ADEEE">
      <w:pPr>
        <w:spacing w:before="0"/>
        <w:ind w:left="672" w:right="793" w:firstLine="0"/>
        <w:jc w:val="center"/>
        <w:rPr>
          <w:rFonts w:hint="eastAsia" w:ascii="黑体" w:eastAsia="黑体"/>
          <w:sz w:val="36"/>
        </w:rPr>
      </w:pPr>
      <w:r>
        <w:rPr>
          <w:rFonts w:hint="eastAsia" w:ascii="黑体" w:eastAsia="黑体"/>
          <w:sz w:val="36"/>
        </w:rPr>
        <w:t>经营者集中简易案件公示表</w:t>
      </w:r>
    </w:p>
    <w:p w14:paraId="191014C5">
      <w:pPr>
        <w:pStyle w:val="3"/>
        <w:spacing w:before="1"/>
        <w:rPr>
          <w:rFonts w:ascii="黑体"/>
          <w:sz w:val="20"/>
        </w:rPr>
      </w:pPr>
    </w:p>
    <w:tbl>
      <w:tblPr>
        <w:tblStyle w:val="5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0"/>
        <w:gridCol w:w="1607"/>
        <w:gridCol w:w="6093"/>
      </w:tblGrid>
      <w:tr w14:paraId="103CC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1940" w:type="dxa"/>
            <w:shd w:val="clear" w:color="auto" w:fill="D9D9D9"/>
            <w:vAlign w:val="center"/>
          </w:tcPr>
          <w:p w14:paraId="01B55B46">
            <w:pPr>
              <w:pStyle w:val="9"/>
              <w:spacing w:before="1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37326DA9">
            <w:pPr>
              <w:pStyle w:val="9"/>
              <w:spacing w:before="0" w:line="240" w:lineRule="auto"/>
              <w:ind w:left="108" w:right="96"/>
              <w:rPr>
                <w:sz w:val="24"/>
              </w:rPr>
            </w:pPr>
            <w:r>
              <w:rPr>
                <w:rFonts w:hint="eastAsia"/>
                <w:sz w:val="24"/>
              </w:rPr>
              <w:t>新疆神火煤电有限公司收购木垒中平电新能源有限公司股权案</w:t>
            </w:r>
          </w:p>
        </w:tc>
      </w:tr>
      <w:tr w14:paraId="0A4B6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7" w:hRule="atLeast"/>
        </w:trPr>
        <w:tc>
          <w:tcPr>
            <w:tcW w:w="1940" w:type="dxa"/>
            <w:shd w:val="clear" w:color="auto" w:fill="D9D9D9"/>
            <w:vAlign w:val="center"/>
          </w:tcPr>
          <w:p w14:paraId="4C1C7E88">
            <w:pPr>
              <w:pStyle w:val="9"/>
              <w:spacing w:before="216" w:line="271" w:lineRule="auto"/>
              <w:ind w:left="0" w:right="0"/>
              <w:jc w:val="center"/>
              <w:rPr>
                <w:sz w:val="24"/>
              </w:rPr>
            </w:pPr>
            <w:r>
              <w:rPr>
                <w:spacing w:val="-33"/>
                <w:sz w:val="24"/>
              </w:rPr>
              <w:t>交易</w:t>
            </w:r>
            <w:r>
              <w:rPr>
                <w:spacing w:val="0"/>
                <w:sz w:val="24"/>
              </w:rPr>
              <w:t>概况（限200</w:t>
            </w:r>
            <w:r>
              <w:rPr>
                <w:sz w:val="24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433328C">
            <w:pPr>
              <w:pStyle w:val="9"/>
              <w:spacing w:before="0" w:line="240" w:lineRule="auto"/>
              <w:ind w:left="96" w:right="96"/>
              <w:jc w:val="left"/>
              <w:rPr>
                <w:rFonts w:hint="default" w:eastAsia="宋体"/>
                <w:spacing w:val="-11"/>
                <w:sz w:val="24"/>
                <w:lang w:val="en-US" w:eastAsia="zh-CN"/>
              </w:rPr>
            </w:pPr>
            <w:r>
              <w:rPr>
                <w:rFonts w:hint="eastAsia"/>
                <w:spacing w:val="0"/>
                <w:sz w:val="24"/>
              </w:rPr>
              <w:t>新疆神火煤电有限公司</w:t>
            </w:r>
            <w:r>
              <w:rPr>
                <w:rFonts w:hint="eastAsia"/>
                <w:spacing w:val="0"/>
                <w:sz w:val="24"/>
                <w:lang w:eastAsia="zh-CN"/>
              </w:rPr>
              <w:t>（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以下简称</w:t>
            </w:r>
            <w:r>
              <w:rPr>
                <w:rFonts w:hint="eastAsia"/>
                <w:b/>
                <w:bCs/>
                <w:spacing w:val="0"/>
                <w:sz w:val="24"/>
                <w:lang w:val="en-US" w:eastAsia="zh-CN"/>
              </w:rPr>
              <w:t>“新疆神火”</w:t>
            </w:r>
            <w:r>
              <w:rPr>
                <w:rFonts w:hint="eastAsia"/>
                <w:spacing w:val="0"/>
                <w:sz w:val="24"/>
                <w:lang w:eastAsia="zh-CN"/>
              </w:rPr>
              <w:t>）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与中国电力国际发展有限公司（以下简称</w:t>
            </w:r>
            <w:r>
              <w:rPr>
                <w:rFonts w:hint="eastAsia"/>
                <w:b/>
                <w:bCs/>
                <w:spacing w:val="0"/>
                <w:sz w:val="24"/>
                <w:lang w:val="en-US" w:eastAsia="zh-CN"/>
              </w:rPr>
              <w:t>“中国电力”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）签署协议，新疆神火收购木垒中平电新能源有限公司（以下简称</w:t>
            </w:r>
            <w:r>
              <w:rPr>
                <w:rFonts w:hint="eastAsia"/>
                <w:b/>
                <w:bCs/>
                <w:spacing w:val="0"/>
                <w:sz w:val="24"/>
                <w:lang w:val="en-US" w:eastAsia="zh-CN"/>
              </w:rPr>
              <w:t>“木垒公司”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）49%的股权。木垒公司主要从事风力发电业务。交易前，中国电力持有木垒公司100%的股权，单独控制木垒公司。交易后，中国电力、新疆神火将分别持有木垒公司51%、49%的股权，共同控制木垒公司。</w:t>
            </w:r>
          </w:p>
        </w:tc>
      </w:tr>
      <w:tr w14:paraId="56FA1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73066F7">
            <w:pPr>
              <w:pStyle w:val="9"/>
              <w:spacing w:line="271" w:lineRule="auto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参与集中的经营者简介（每个限</w:t>
            </w:r>
            <w:r>
              <w:rPr>
                <w:spacing w:val="-1"/>
                <w:sz w:val="24"/>
              </w:rPr>
              <w:t>100</w:t>
            </w:r>
            <w:r>
              <w:rPr>
                <w:spacing w:val="-15"/>
                <w:sz w:val="24"/>
              </w:rPr>
              <w:t>字以内</w:t>
            </w:r>
            <w:r>
              <w:rPr>
                <w:sz w:val="24"/>
              </w:rPr>
              <w:t>）</w:t>
            </w:r>
          </w:p>
        </w:tc>
        <w:tc>
          <w:tcPr>
            <w:tcW w:w="1607" w:type="dxa"/>
          </w:tcPr>
          <w:p w14:paraId="67AF8693">
            <w:pPr>
              <w:pStyle w:val="9"/>
              <w:spacing w:before="232"/>
              <w:ind w:left="0" w:leftChars="0" w:right="0" w:rightChars="0" w:firstLine="0" w:firstLineChars="0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rFonts w:hint="eastAsia"/>
                <w:sz w:val="24"/>
              </w:rPr>
              <w:t>新疆神火</w:t>
            </w:r>
          </w:p>
        </w:tc>
        <w:tc>
          <w:tcPr>
            <w:tcW w:w="6093" w:type="dxa"/>
          </w:tcPr>
          <w:p w14:paraId="098CB475">
            <w:pPr>
              <w:pStyle w:val="9"/>
              <w:spacing w:before="0" w:line="240" w:lineRule="auto"/>
              <w:ind w:left="108" w:right="96"/>
              <w:rPr>
                <w:sz w:val="24"/>
              </w:rPr>
            </w:pPr>
            <w:r>
              <w:rPr>
                <w:rFonts w:hint="eastAsia"/>
                <w:w w:val="100"/>
                <w:sz w:val="24"/>
              </w:rPr>
              <w:t>新疆神火</w:t>
            </w:r>
            <w:r>
              <w:rPr>
                <w:rFonts w:hint="eastAsia"/>
                <w:spacing w:val="0"/>
                <w:sz w:val="24"/>
              </w:rPr>
              <w:t>于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2010</w:t>
            </w:r>
            <w:r>
              <w:rPr>
                <w:rFonts w:hint="eastAsia"/>
                <w:spacing w:val="0"/>
                <w:sz w:val="24"/>
              </w:rPr>
              <w:t>年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12</w:t>
            </w:r>
            <w:r>
              <w:rPr>
                <w:rFonts w:hint="eastAsia"/>
                <w:spacing w:val="0"/>
                <w:sz w:val="24"/>
              </w:rPr>
              <w:t>月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27</w:t>
            </w:r>
            <w:r>
              <w:rPr>
                <w:rFonts w:hint="eastAsia"/>
                <w:spacing w:val="0"/>
                <w:sz w:val="24"/>
              </w:rPr>
              <w:t>日成立于新疆维吾尔自治区昌吉回族自治州，</w:t>
            </w:r>
            <w:r>
              <w:rPr>
                <w:sz w:val="24"/>
              </w:rPr>
              <w:t>主要业务为</w:t>
            </w:r>
            <w:r>
              <w:rPr>
                <w:rFonts w:hint="eastAsia"/>
                <w:sz w:val="24"/>
              </w:rPr>
              <w:t>火力发电及电解铝业务</w:t>
            </w:r>
            <w:r>
              <w:rPr>
                <w:sz w:val="24"/>
              </w:rPr>
              <w:t>。</w:t>
            </w:r>
          </w:p>
          <w:p w14:paraId="65F1A592">
            <w:pPr>
              <w:pStyle w:val="9"/>
              <w:spacing w:before="0" w:line="240" w:lineRule="auto"/>
              <w:ind w:left="108" w:right="96"/>
              <w:rPr>
                <w:sz w:val="24"/>
              </w:rPr>
            </w:pPr>
            <w:r>
              <w:rPr>
                <w:rFonts w:hint="eastAsia"/>
                <w:spacing w:val="0"/>
                <w:sz w:val="24"/>
              </w:rPr>
              <w:t>其最终控制人河南神火集团有限公司，主要从事煤炭、电力、电解铝、铝加工产业投资业务。</w:t>
            </w:r>
          </w:p>
        </w:tc>
      </w:tr>
      <w:tr w14:paraId="4E76B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6" w:hRule="atLeast"/>
        </w:trPr>
        <w:tc>
          <w:tcPr>
            <w:tcW w:w="1940" w:type="dxa"/>
            <w:vMerge w:val="continue"/>
            <w:tcBorders>
              <w:top w:val="nil"/>
              <w:bottom w:val="single" w:color="auto" w:sz="4" w:space="0"/>
            </w:tcBorders>
            <w:shd w:val="clear" w:color="auto" w:fill="D9D9D9"/>
            <w:vAlign w:val="center"/>
          </w:tcPr>
          <w:p w14:paraId="3A38D2E3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607" w:type="dxa"/>
            <w:tcBorders>
              <w:bottom w:val="single" w:color="auto" w:sz="4" w:space="0"/>
            </w:tcBorders>
          </w:tcPr>
          <w:p w14:paraId="7560714C">
            <w:pPr>
              <w:pStyle w:val="9"/>
              <w:ind w:left="0" w:leftChars="0" w:right="0" w:rightChars="0" w:firstLine="0" w:firstLineChars="0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sz w:val="24"/>
              </w:rPr>
              <w:t>2.</w:t>
            </w:r>
            <w:r>
              <w:rPr>
                <w:rFonts w:hint="eastAsia"/>
                <w:sz w:val="24"/>
                <w:lang w:eastAsia="zh-CN"/>
              </w:rPr>
              <w:t>中国电力</w:t>
            </w:r>
          </w:p>
        </w:tc>
        <w:tc>
          <w:tcPr>
            <w:tcW w:w="6093" w:type="dxa"/>
            <w:tcBorders>
              <w:bottom w:val="single" w:color="auto" w:sz="4" w:space="0"/>
            </w:tcBorders>
          </w:tcPr>
          <w:p w14:paraId="08046B61">
            <w:pPr>
              <w:pStyle w:val="9"/>
              <w:spacing w:before="0" w:line="240" w:lineRule="auto"/>
              <w:ind w:left="108" w:right="96"/>
              <w:jc w:val="left"/>
              <w:rPr>
                <w:sz w:val="24"/>
              </w:rPr>
            </w:pPr>
            <w:r>
              <w:rPr>
                <w:rFonts w:hint="eastAsia"/>
                <w:spacing w:val="0"/>
                <w:sz w:val="24"/>
                <w:lang w:eastAsia="zh-CN"/>
              </w:rPr>
              <w:t>中国电力</w:t>
            </w:r>
            <w:r>
              <w:rPr>
                <w:rFonts w:hint="eastAsia"/>
                <w:spacing w:val="0"/>
                <w:sz w:val="24"/>
              </w:rPr>
              <w:t>于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2004</w:t>
            </w:r>
            <w:r>
              <w:rPr>
                <w:rFonts w:hint="eastAsia"/>
                <w:spacing w:val="0"/>
                <w:sz w:val="24"/>
              </w:rPr>
              <w:t>年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3</w:t>
            </w:r>
            <w:r>
              <w:rPr>
                <w:rFonts w:hint="eastAsia"/>
                <w:spacing w:val="0"/>
                <w:sz w:val="24"/>
              </w:rPr>
              <w:t>月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24</w:t>
            </w:r>
            <w:r>
              <w:rPr>
                <w:rFonts w:hint="eastAsia"/>
                <w:spacing w:val="0"/>
                <w:sz w:val="24"/>
              </w:rPr>
              <w:t>日成立于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中国香港</w:t>
            </w:r>
            <w:r>
              <w:rPr>
                <w:rFonts w:hint="eastAsia"/>
                <w:spacing w:val="0"/>
                <w:sz w:val="24"/>
              </w:rPr>
              <w:t>地区，为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香港联合</w:t>
            </w:r>
            <w:r>
              <w:rPr>
                <w:rFonts w:hint="eastAsia"/>
                <w:spacing w:val="0"/>
                <w:sz w:val="24"/>
              </w:rPr>
              <w:t>交</w:t>
            </w:r>
            <w:r>
              <w:rPr>
                <w:sz w:val="24"/>
              </w:rPr>
              <w:t>易所上市公司，</w:t>
            </w:r>
            <w:r>
              <w:rPr>
                <w:rFonts w:hint="eastAsia"/>
                <w:sz w:val="24"/>
              </w:rPr>
              <w:t>主要从事火力发电、水力发电、风力发电、光伏发电、天然气发电、环保发电、储能、绿电交通及综合智慧能源解决服务业务</w:t>
            </w:r>
            <w:r>
              <w:rPr>
                <w:sz w:val="24"/>
              </w:rPr>
              <w:t>。</w:t>
            </w:r>
          </w:p>
          <w:p w14:paraId="4B3565F9">
            <w:pPr>
              <w:pStyle w:val="9"/>
              <w:spacing w:before="0" w:line="240" w:lineRule="auto"/>
              <w:ind w:left="108" w:right="96"/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其</w:t>
            </w:r>
            <w:r>
              <w:rPr>
                <w:rFonts w:hint="eastAsia"/>
                <w:spacing w:val="0"/>
                <w:sz w:val="24"/>
              </w:rPr>
              <w:t>最终控制人为国家电力投资集团有限公司</w:t>
            </w:r>
            <w:r>
              <w:rPr>
                <w:rFonts w:hint="eastAsia"/>
                <w:spacing w:val="0"/>
                <w:sz w:val="24"/>
                <w:lang w:eastAsia="zh-CN"/>
              </w:rPr>
              <w:t>，</w:t>
            </w:r>
            <w:r>
              <w:rPr>
                <w:rFonts w:hint="eastAsia"/>
                <w:spacing w:val="0"/>
                <w:sz w:val="24"/>
                <w:lang w:val="en-US" w:eastAsia="zh-CN"/>
              </w:rPr>
              <w:t>主营业务为电力生产和销售。</w:t>
            </w:r>
          </w:p>
        </w:tc>
      </w:tr>
      <w:tr w14:paraId="6AAA8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4C4F981F">
            <w:pPr>
              <w:pStyle w:val="9"/>
              <w:spacing w:before="196"/>
              <w:ind w:left="0"/>
              <w:jc w:val="center"/>
              <w:rPr>
                <w:sz w:val="24"/>
              </w:rPr>
            </w:pPr>
            <w:r>
              <w:rPr>
                <w:spacing w:val="45"/>
                <w:sz w:val="24"/>
              </w:rPr>
              <w:t>简易案件理由</w:t>
            </w:r>
          </w:p>
          <w:p w14:paraId="072CA1AE">
            <w:pPr>
              <w:pStyle w:val="9"/>
              <w:spacing w:before="40" w:line="271" w:lineRule="auto"/>
              <w:ind w:left="0" w:right="0"/>
              <w:jc w:val="center"/>
              <w:rPr>
                <w:sz w:val="24"/>
              </w:rPr>
            </w:pPr>
            <w:r>
              <w:rPr>
                <w:sz w:val="24"/>
              </w:rPr>
              <w:t>（可以单选，也可以多选）</w:t>
            </w:r>
          </w:p>
        </w:tc>
        <w:tc>
          <w:tcPr>
            <w:tcW w:w="7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05427">
            <w:pPr>
              <w:pStyle w:val="9"/>
              <w:numPr>
                <w:ilvl w:val="0"/>
                <w:numId w:val="1"/>
              </w:numPr>
              <w:tabs>
                <w:tab w:val="left" w:pos="381"/>
              </w:tabs>
              <w:spacing w:before="13" w:after="0" w:line="240" w:lineRule="auto"/>
              <w:ind w:left="380" w:right="-29" w:hanging="274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0"/>
                <w:sz w:val="24"/>
              </w:rPr>
              <w:t>.在同一相关市场，参与集中的经营者所占的市场份额之和小于</w:t>
            </w:r>
            <w:r>
              <w:rPr>
                <w:sz w:val="24"/>
              </w:rPr>
              <w:t>15%。</w:t>
            </w:r>
          </w:p>
        </w:tc>
      </w:tr>
      <w:tr w14:paraId="42E28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7D2EC4C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FD358">
            <w:pPr>
              <w:pStyle w:val="9"/>
              <w:numPr>
                <w:ilvl w:val="0"/>
                <w:numId w:val="2"/>
              </w:numPr>
              <w:tabs>
                <w:tab w:val="left" w:pos="381"/>
              </w:tabs>
              <w:spacing w:before="14" w:after="0" w:line="240" w:lineRule="auto"/>
              <w:ind w:left="380" w:right="0" w:hanging="274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.在上下游市场，参与集中的经营者所占的市场份额均小于</w:t>
            </w:r>
            <w:r>
              <w:rPr>
                <w:sz w:val="24"/>
              </w:rPr>
              <w:t>25%。</w:t>
            </w:r>
          </w:p>
        </w:tc>
      </w:tr>
      <w:tr w14:paraId="5D767A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5092F19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C7810D">
            <w:pPr>
              <w:pStyle w:val="9"/>
              <w:numPr>
                <w:ilvl w:val="0"/>
                <w:numId w:val="0"/>
              </w:numPr>
              <w:tabs>
                <w:tab w:val="left" w:pos="386"/>
              </w:tabs>
              <w:spacing w:before="13" w:after="0" w:line="240" w:lineRule="auto"/>
              <w:ind w:left="385" w:right="0" w:hanging="279"/>
              <w:jc w:val="left"/>
              <w:rPr>
                <w:sz w:val="24"/>
              </w:rPr>
            </w:pPr>
            <w:r>
              <w:rPr>
                <w:rFonts w:hint="default" w:ascii="Wingdings" w:hAnsi="Wingdings" w:eastAsia="Wingdings" w:cs="Wingdings"/>
                <w:w w:val="100"/>
                <w:sz w:val="24"/>
                <w:szCs w:val="24"/>
                <w:lang w:val="en-US" w:eastAsia="en-US" w:bidi="ar-SA"/>
              </w:rPr>
              <w:sym w:font="Wingdings" w:char="00A8"/>
            </w:r>
            <w:r>
              <w:rPr>
                <w:sz w:val="24"/>
              </w:rPr>
              <w:t>3.不在同一相关市场也不存在上下游关系的参与集中的经营者，在与</w:t>
            </w:r>
          </w:p>
          <w:p w14:paraId="1BE5BFB7">
            <w:pPr>
              <w:pStyle w:val="9"/>
              <w:spacing w:before="41"/>
              <w:rPr>
                <w:sz w:val="24"/>
              </w:rPr>
            </w:pPr>
            <w:r>
              <w:rPr>
                <w:sz w:val="24"/>
              </w:rPr>
              <w:t>交易有关的每个市场所占的市场份额均小于25%。</w:t>
            </w:r>
          </w:p>
        </w:tc>
      </w:tr>
      <w:tr w14:paraId="38D15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27049196">
            <w:pPr>
              <w:pStyle w:val="9"/>
              <w:ind w:left="0"/>
              <w:jc w:val="center"/>
              <w:rPr>
                <w:rFonts w:hint="eastAsia" w:ascii="宋体"/>
                <w:sz w:val="26"/>
              </w:rPr>
            </w:pPr>
          </w:p>
        </w:tc>
        <w:tc>
          <w:tcPr>
            <w:tcW w:w="7700" w:type="dxa"/>
            <w:gridSpan w:val="2"/>
          </w:tcPr>
          <w:p w14:paraId="3F62B837">
            <w:pPr>
              <w:pStyle w:val="9"/>
              <w:numPr>
                <w:ilvl w:val="0"/>
                <w:numId w:val="3"/>
              </w:numPr>
              <w:tabs>
                <w:tab w:val="left" w:pos="386"/>
              </w:tabs>
              <w:spacing w:before="100" w:after="0" w:line="271" w:lineRule="auto"/>
              <w:ind w:left="107" w:right="97" w:firstLine="0"/>
              <w:jc w:val="left"/>
              <w:rPr>
                <w:sz w:val="24"/>
              </w:rPr>
            </w:pPr>
            <w:r>
              <w:rPr>
                <w:w w:val="95"/>
                <w:sz w:val="24"/>
              </w:rPr>
              <w:t>4.参与集中的经营者在中国境外设立合营企业，合营企业不在中国境</w:t>
            </w:r>
            <w:r>
              <w:rPr>
                <w:sz w:val="24"/>
              </w:rPr>
              <w:t>内从事经济活动。</w:t>
            </w:r>
          </w:p>
        </w:tc>
      </w:tr>
      <w:tr w14:paraId="0F16A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622C9B2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00" w:type="dxa"/>
            <w:gridSpan w:val="2"/>
          </w:tcPr>
          <w:p w14:paraId="0316BF6C">
            <w:pPr>
              <w:pStyle w:val="9"/>
              <w:numPr>
                <w:ilvl w:val="0"/>
                <w:numId w:val="4"/>
              </w:numPr>
              <w:tabs>
                <w:tab w:val="left" w:pos="386"/>
              </w:tabs>
              <w:spacing w:before="14" w:after="0" w:line="240" w:lineRule="auto"/>
              <w:ind w:left="385" w:right="0" w:hanging="279"/>
              <w:jc w:val="left"/>
              <w:rPr>
                <w:sz w:val="24"/>
              </w:rPr>
            </w:pPr>
            <w:r>
              <w:rPr>
                <w:sz w:val="24"/>
              </w:rPr>
              <w:t>5.参与集中的经营者收购境外企业股权或资产的，该境外企业不在中</w:t>
            </w:r>
          </w:p>
          <w:p w14:paraId="71AED5CD">
            <w:pPr>
              <w:pStyle w:val="9"/>
              <w:spacing w:before="38"/>
              <w:rPr>
                <w:sz w:val="24"/>
              </w:rPr>
            </w:pPr>
            <w:r>
              <w:rPr>
                <w:sz w:val="24"/>
              </w:rPr>
              <w:t>国境内从事经济活动。</w:t>
            </w:r>
          </w:p>
        </w:tc>
      </w:tr>
      <w:tr w14:paraId="39C44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 w14:paraId="586417D7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700" w:type="dxa"/>
            <w:gridSpan w:val="2"/>
          </w:tcPr>
          <w:p w14:paraId="54E9CA30">
            <w:pPr>
              <w:pStyle w:val="9"/>
              <w:numPr>
                <w:ilvl w:val="0"/>
                <w:numId w:val="5"/>
              </w:numPr>
              <w:tabs>
                <w:tab w:val="left" w:pos="386"/>
              </w:tabs>
              <w:spacing w:before="14" w:after="0" w:line="240" w:lineRule="auto"/>
              <w:ind w:left="385" w:right="0" w:hanging="279"/>
              <w:jc w:val="left"/>
              <w:rPr>
                <w:sz w:val="24"/>
              </w:rPr>
            </w:pPr>
            <w:r>
              <w:rPr>
                <w:sz w:val="24"/>
              </w:rPr>
              <w:t>6.由两个以上的经营者共同控制的合营企业，通过集中被其中一个或</w:t>
            </w:r>
          </w:p>
          <w:p w14:paraId="3257251F">
            <w:pPr>
              <w:pStyle w:val="9"/>
              <w:spacing w:before="38"/>
              <w:rPr>
                <w:sz w:val="24"/>
              </w:rPr>
            </w:pPr>
            <w:r>
              <w:rPr>
                <w:sz w:val="24"/>
              </w:rPr>
              <w:t>一个以上经营者控制。</w:t>
            </w:r>
          </w:p>
        </w:tc>
      </w:tr>
      <w:tr w14:paraId="56647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40" w:type="dxa"/>
            <w:shd w:val="clear" w:color="auto" w:fill="D9D9D9"/>
            <w:vAlign w:val="center"/>
          </w:tcPr>
          <w:p w14:paraId="0D7F2C5A">
            <w:pPr>
              <w:pStyle w:val="9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  <w:tc>
          <w:tcPr>
            <w:tcW w:w="7700" w:type="dxa"/>
            <w:gridSpan w:val="2"/>
          </w:tcPr>
          <w:p w14:paraId="3D7C1E64">
            <w:pPr>
              <w:pStyle w:val="9"/>
              <w:spacing w:before="0" w:line="240" w:lineRule="auto"/>
              <w:ind w:left="108" w:right="96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hint="eastAsia" w:ascii="宋体" w:eastAsia="宋体"/>
                <w:b/>
                <w:bCs/>
                <w:sz w:val="24"/>
              </w:rPr>
              <w:t>横向重叠：</w:t>
            </w:r>
          </w:p>
          <w:p w14:paraId="779F7B52">
            <w:pPr>
              <w:pStyle w:val="9"/>
              <w:spacing w:before="0" w:line="240" w:lineRule="auto"/>
              <w:ind w:left="108" w:right="96"/>
              <w:rPr>
                <w:rFonts w:hint="eastAsia" w:eastAsia="宋体"/>
                <w:w w:val="100"/>
                <w:sz w:val="24"/>
                <w:lang w:eastAsia="zh-CN"/>
              </w:rPr>
            </w:pPr>
            <w:r>
              <w:rPr>
                <w:rFonts w:hint="eastAsia"/>
                <w:w w:val="100"/>
                <w:sz w:val="24"/>
              </w:rPr>
              <w:t>2024年中国境内电力生产与供应市场</w:t>
            </w:r>
            <w:r>
              <w:rPr>
                <w:rFonts w:hint="eastAsia"/>
                <w:w w:val="100"/>
                <w:sz w:val="24"/>
                <w:lang w:eastAsia="zh-CN"/>
              </w:rPr>
              <w:t>：</w:t>
            </w:r>
          </w:p>
          <w:p w14:paraId="7A0D56C0">
            <w:pPr>
              <w:pStyle w:val="9"/>
              <w:spacing w:before="0" w:line="240" w:lineRule="auto"/>
              <w:ind w:left="108" w:right="96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w w:val="100"/>
                <w:sz w:val="24"/>
              </w:rPr>
              <w:t>新疆神火</w:t>
            </w:r>
            <w:r>
              <w:rPr>
                <w:rFonts w:hint="eastAsia"/>
                <w:w w:val="100"/>
                <w:sz w:val="24"/>
                <w:lang w:eastAsia="zh-CN"/>
              </w:rPr>
              <w:t>：</w:t>
            </w:r>
            <w:r>
              <w:rPr>
                <w:rFonts w:hint="eastAsia"/>
                <w:w w:val="100"/>
                <w:sz w:val="24"/>
              </w:rPr>
              <w:t>0-5%</w:t>
            </w:r>
            <w:r>
              <w:rPr>
                <w:rFonts w:hint="eastAsia"/>
                <w:w w:val="100"/>
                <w:sz w:val="24"/>
                <w:lang w:eastAsia="zh-CN"/>
              </w:rPr>
              <w:t>，中国电力：</w:t>
            </w:r>
            <w:r>
              <w:rPr>
                <w:rFonts w:hint="eastAsia"/>
                <w:w w:val="100"/>
                <w:sz w:val="24"/>
              </w:rPr>
              <w:t>5-10%</w:t>
            </w:r>
            <w:r>
              <w:rPr>
                <w:rFonts w:hint="eastAsia"/>
                <w:w w:val="100"/>
                <w:sz w:val="24"/>
                <w:lang w:val="en-US" w:eastAsia="zh-CN"/>
              </w:rPr>
              <w:t>，各</w:t>
            </w:r>
            <w:r>
              <w:rPr>
                <w:rFonts w:hint="eastAsia"/>
                <w:w w:val="100"/>
                <w:sz w:val="24"/>
              </w:rPr>
              <w:t>方合计5-10%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73D534D8">
            <w:pPr>
              <w:pStyle w:val="9"/>
              <w:spacing w:before="0" w:line="240" w:lineRule="auto"/>
              <w:ind w:left="108" w:right="96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2024年中国境内</w:t>
            </w:r>
            <w:r>
              <w:rPr>
                <w:rFonts w:hint="eastAsia"/>
                <w:sz w:val="24"/>
                <w:lang w:val="en-US" w:eastAsia="zh-CN"/>
              </w:rPr>
              <w:t>电解铝</w:t>
            </w:r>
            <w:r>
              <w:rPr>
                <w:rFonts w:hint="eastAsia"/>
                <w:sz w:val="24"/>
                <w:lang w:eastAsia="zh-CN"/>
              </w:rPr>
              <w:t>市场：</w:t>
            </w:r>
          </w:p>
          <w:p w14:paraId="02489C5A">
            <w:pPr>
              <w:pStyle w:val="9"/>
              <w:spacing w:before="0" w:line="240" w:lineRule="auto"/>
              <w:ind w:left="108" w:right="96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新疆神火：0-5%，中国电力：5-10%，各方合计</w:t>
            </w:r>
            <w:r>
              <w:rPr>
                <w:rFonts w:hint="eastAsia"/>
                <w:sz w:val="24"/>
                <w:lang w:val="en-US" w:eastAsia="zh-CN"/>
              </w:rPr>
              <w:t>10</w:t>
            </w:r>
            <w:r>
              <w:rPr>
                <w:rFonts w:hint="eastAsia"/>
                <w:sz w:val="24"/>
                <w:lang w:eastAsia="zh-CN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 w:val="24"/>
                <w:lang w:eastAsia="zh-CN"/>
              </w:rPr>
              <w:t>5%。</w:t>
            </w:r>
          </w:p>
          <w:p w14:paraId="5A66076E">
            <w:pPr>
              <w:pStyle w:val="9"/>
              <w:spacing w:before="0" w:line="240" w:lineRule="auto"/>
              <w:ind w:left="108" w:right="96"/>
              <w:rPr>
                <w:rFonts w:hint="eastAsia"/>
                <w:sz w:val="24"/>
                <w:lang w:eastAsia="zh-CN"/>
              </w:rPr>
            </w:pPr>
          </w:p>
          <w:p w14:paraId="68A3CFF0">
            <w:pPr>
              <w:pStyle w:val="9"/>
              <w:spacing w:before="0" w:line="240" w:lineRule="auto"/>
              <w:ind w:left="108" w:right="96"/>
              <w:rPr>
                <w:rFonts w:hint="eastAsia" w:ascii="宋体" w:eastAsia="宋体"/>
                <w:b/>
                <w:bCs/>
                <w:sz w:val="24"/>
              </w:rPr>
            </w:pPr>
            <w:r>
              <w:rPr>
                <w:rFonts w:hint="eastAsia" w:ascii="宋体" w:eastAsia="宋体"/>
                <w:b/>
                <w:bCs/>
                <w:sz w:val="24"/>
              </w:rPr>
              <w:t>纵向关联：</w:t>
            </w:r>
            <w:bookmarkStart w:id="0" w:name="_GoBack"/>
            <w:bookmarkEnd w:id="0"/>
          </w:p>
          <w:p w14:paraId="668D8577">
            <w:pPr>
              <w:pStyle w:val="9"/>
              <w:spacing w:before="0" w:line="240" w:lineRule="auto"/>
              <w:ind w:left="108" w:right="96"/>
              <w:rPr>
                <w:rFonts w:hint="eastAsia" w:ascii="宋体" w:eastAsia="宋体"/>
                <w:b w:val="0"/>
                <w:bCs w:val="0"/>
                <w:sz w:val="24"/>
              </w:rPr>
            </w:pPr>
            <w:r>
              <w:rPr>
                <w:rFonts w:hint="eastAsia" w:ascii="宋体" w:eastAsia="宋体"/>
                <w:b w:val="0"/>
                <w:bCs w:val="0"/>
                <w:sz w:val="24"/>
              </w:rPr>
              <w:t>上游：2024年中国境内电力生产与供应市场</w:t>
            </w:r>
          </w:p>
          <w:p w14:paraId="1A4A2F74">
            <w:pPr>
              <w:pStyle w:val="9"/>
              <w:spacing w:before="0" w:line="240" w:lineRule="auto"/>
              <w:ind w:left="108" w:right="96"/>
              <w:rPr>
                <w:rFonts w:hint="eastAsia" w:ascii="宋体" w:eastAsia="宋体"/>
                <w:b w:val="0"/>
                <w:bCs w:val="0"/>
                <w:sz w:val="24"/>
              </w:rPr>
            </w:pPr>
            <w:r>
              <w:rPr>
                <w:rFonts w:hint="eastAsia" w:ascii="宋体" w:eastAsia="宋体"/>
                <w:b w:val="0"/>
                <w:bCs w:val="0"/>
                <w:sz w:val="24"/>
              </w:rPr>
              <w:t>如上所述。</w:t>
            </w:r>
          </w:p>
          <w:p w14:paraId="06B21D5C">
            <w:pPr>
              <w:pStyle w:val="9"/>
              <w:spacing w:before="0" w:line="240" w:lineRule="auto"/>
              <w:ind w:left="108" w:right="96"/>
              <w:rPr>
                <w:rFonts w:hint="eastAsia" w:ascii="宋体" w:eastAsia="宋体"/>
                <w:b w:val="0"/>
                <w:bCs w:val="0"/>
                <w:sz w:val="24"/>
              </w:rPr>
            </w:pPr>
            <w:r>
              <w:rPr>
                <w:rFonts w:hint="eastAsia" w:ascii="宋体" w:eastAsia="宋体"/>
                <w:b w:val="0"/>
                <w:bCs w:val="0"/>
                <w:sz w:val="24"/>
              </w:rPr>
              <w:t>下游：2024年中国境内电解铝市场</w:t>
            </w:r>
          </w:p>
          <w:p w14:paraId="77B13024">
            <w:pPr>
              <w:pStyle w:val="9"/>
              <w:spacing w:before="0" w:line="240" w:lineRule="auto"/>
              <w:ind w:left="108" w:right="96"/>
              <w:rPr>
                <w:sz w:val="24"/>
              </w:rPr>
            </w:pPr>
            <w:r>
              <w:rPr>
                <w:rFonts w:hint="eastAsia" w:ascii="宋体" w:eastAsia="宋体"/>
                <w:b w:val="0"/>
                <w:bCs w:val="0"/>
                <w:sz w:val="24"/>
              </w:rPr>
              <w:t>如上所述。</w:t>
            </w:r>
          </w:p>
        </w:tc>
      </w:tr>
    </w:tbl>
    <w:p w14:paraId="653E2BF5">
      <w:pPr>
        <w:pStyle w:val="3"/>
        <w:spacing w:line="228" w:lineRule="auto"/>
        <w:ind w:left="0" w:right="511" w:firstLine="0"/>
        <w:jc w:val="both"/>
      </w:pPr>
    </w:p>
    <w:sectPr>
      <w:pgSz w:w="11910" w:h="16840"/>
      <w:pgMar w:top="1580" w:right="96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libri">
    <w:altName w:val="Times New Roman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"/>
      <w:lvlJc w:val="left"/>
      <w:pPr>
        <w:ind w:left="385" w:hanging="279"/>
      </w:pPr>
      <w:rPr>
        <w:rFonts w:hint="default" w:ascii="Wingdings" w:hAnsi="Wingdings" w:eastAsia="Wingdings" w:cs="Wingdings"/>
        <w:w w:val="10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111" w:hanging="27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842" w:hanging="27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573" w:hanging="27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304" w:hanging="27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035" w:hanging="27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4766" w:hanging="27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5497" w:hanging="27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6228" w:hanging="279"/>
      </w:pPr>
      <w:rPr>
        <w:rFonts w:hint="default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"/>
      <w:lvlJc w:val="left"/>
      <w:pPr>
        <w:ind w:left="107" w:hanging="279"/>
      </w:pPr>
      <w:rPr>
        <w:rFonts w:hint="default" w:ascii="Wingdings" w:hAnsi="Wingdings" w:eastAsia="Wingdings" w:cs="Wingdings"/>
        <w:w w:val="10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859" w:hanging="27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618" w:hanging="27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377" w:hanging="27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136" w:hanging="27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3895" w:hanging="27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4654" w:hanging="27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5413" w:hanging="27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6172" w:hanging="279"/>
      </w:pPr>
      <w:rPr>
        <w:rFonts w:hint="default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"/>
      <w:lvlJc w:val="left"/>
      <w:pPr>
        <w:ind w:left="380" w:hanging="274"/>
      </w:pPr>
      <w:rPr>
        <w:rFonts w:hint="default" w:ascii="Wingdings" w:hAnsi="Wingdings" w:eastAsia="Wingdings" w:cs="Wingdings"/>
        <w:w w:val="10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111" w:hanging="274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842" w:hanging="274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573" w:hanging="274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304" w:hanging="274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035" w:hanging="274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4766" w:hanging="274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5497" w:hanging="274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6228" w:hanging="274"/>
      </w:pPr>
      <w:rPr>
        <w:rFonts w:hint="default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"/>
      <w:lvlJc w:val="left"/>
      <w:pPr>
        <w:ind w:left="380" w:hanging="274"/>
      </w:pPr>
      <w:rPr>
        <w:rFonts w:hint="default" w:ascii="Wingdings" w:hAnsi="Wingdings" w:eastAsia="Wingdings" w:cs="Wingdings"/>
        <w:w w:val="10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111" w:hanging="274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842" w:hanging="274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573" w:hanging="274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304" w:hanging="274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035" w:hanging="274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4766" w:hanging="274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5497" w:hanging="274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6228" w:hanging="274"/>
      </w:pPr>
      <w:rPr>
        <w:rFonts w:hint="default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"/>
      <w:lvlJc w:val="left"/>
      <w:pPr>
        <w:ind w:left="385" w:hanging="279"/>
      </w:pPr>
      <w:rPr>
        <w:rFonts w:hint="default" w:ascii="Wingdings" w:hAnsi="Wingdings" w:eastAsia="Wingdings" w:cs="Wingdings"/>
        <w:w w:val="100"/>
        <w:sz w:val="24"/>
        <w:szCs w:val="24"/>
      </w:rPr>
    </w:lvl>
    <w:lvl w:ilvl="1" w:tentative="0">
      <w:start w:val="0"/>
      <w:numFmt w:val="bullet"/>
      <w:lvlText w:val="•"/>
      <w:lvlJc w:val="left"/>
      <w:pPr>
        <w:ind w:left="1111" w:hanging="27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842" w:hanging="27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573" w:hanging="27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304" w:hanging="27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035" w:hanging="27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4766" w:hanging="27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5497" w:hanging="27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6228" w:hanging="279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trackRevision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93869"/>
    <w:rsid w:val="0BE87353"/>
    <w:rsid w:val="19A94182"/>
    <w:rsid w:val="22592CB1"/>
    <w:rsid w:val="310C2E7A"/>
    <w:rsid w:val="38F63878"/>
    <w:rsid w:val="56CF5CFB"/>
    <w:rsid w:val="62A60175"/>
    <w:rsid w:val="65E62067"/>
    <w:rsid w:val="712D0F59"/>
    <w:rsid w:val="71A175F8"/>
    <w:rsid w:val="771937C1"/>
    <w:rsid w:val="77BE0D0E"/>
    <w:rsid w:val="7B0323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8"/>
      <w:szCs w:val="28"/>
    </w:rPr>
  </w:style>
  <w:style w:type="paragraph" w:styleId="4">
    <w:name w:val="Title"/>
    <w:basedOn w:val="1"/>
    <w:qFormat/>
    <w:uiPriority w:val="1"/>
    <w:pPr>
      <w:spacing w:before="41"/>
      <w:ind w:left="676" w:right="793"/>
      <w:jc w:val="center"/>
    </w:pPr>
    <w:rPr>
      <w:rFonts w:ascii="宋体" w:hAnsi="宋体" w:eastAsia="宋体" w:cs="宋体"/>
      <w:sz w:val="44"/>
      <w:szCs w:val="44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835</Words>
  <Characters>910</Characters>
  <TotalTime>20</TotalTime>
  <ScaleCrop>false</ScaleCrop>
  <LinksUpToDate>false</LinksUpToDate>
  <CharactersWithSpaces>910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2025-04-24T18:58:00Z</dcterms:created>
  <dc:creator>oa</dc:creator>
  <cp:lastModifiedBy>guest</cp:lastModifiedBy>
  <dcterms:modified xsi:type="dcterms:W3CDTF">2025-06-16T12:43:58Z</dcterms:modified>
  <dc:title>附件4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2025-04-24T00:00:00Z</vt:filetime>
  </property>
  <property fmtid="{D5CDD505-2E9C-101B-9397-08002B2CF9AE}" pid="5" name="KSOTemplateDocerSaveRecord">
    <vt:lpwstr>eyJoZGlkIjoiYTU3MjAzOGI1ZWM1NjI3YTE0MjIzZDIwNTMwM2NhZjEiLCJ1c2VySWQiOiIxMTY3MDQxNzczIn0=</vt:lpwstr>
  </property>
  <property fmtid="{D5CDD505-2E9C-101B-9397-08002B2CF9AE}" pid="6" name="KSOProductBuildVer">
    <vt:lpwstr>2052-12.8.2.1119</vt:lpwstr>
  </property>
  <property fmtid="{D5CDD505-2E9C-101B-9397-08002B2CF9AE}" pid="7" name="ICV">
    <vt:lpwstr>D82F4E59C6A546C28182511630ED1CA2_13</vt:lpwstr>
  </property>
</Properties>
</file>