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6"/>
        <w:jc w:val="center"/>
        <w:rPr>
          <w:rFonts w:hint="default" w:ascii="Times New Roman" w:hAnsi="Times New Roman" w:eastAsia="方正小标宋简体" w:cs="Times New Roman"/>
          <w:bCs/>
          <w:kern w:val="0"/>
          <w:sz w:val="44"/>
          <w:szCs w:val="44"/>
          <w:lang w:val="en-GB" w:bidi="ar-AE"/>
        </w:rPr>
      </w:pPr>
      <w:r>
        <w:rPr>
          <w:rFonts w:hint="default" w:ascii="Times New Roman" w:hAnsi="Times New Roman" w:eastAsia="方正小标宋简体" w:cs="Times New Roman"/>
          <w:bCs/>
          <w:kern w:val="0"/>
          <w:sz w:val="44"/>
          <w:szCs w:val="44"/>
          <w:lang w:val="en-GB" w:bidi="ar-AE"/>
        </w:rPr>
        <w:t>经营者集中简易案件公示表</w:t>
      </w:r>
    </w:p>
    <w:tbl>
      <w:tblPr>
        <w:tblStyle w:val="11"/>
        <w:tblW w:w="9640" w:type="dxa"/>
        <w:tblInd w:w="-17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40"/>
        <w:gridCol w:w="1607"/>
        <w:gridCol w:w="609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26" w:hRule="atLeast"/>
        </w:trPr>
        <w:tc>
          <w:tcPr>
            <w:tcW w:w="1940" w:type="dxa"/>
            <w:shd w:val="clear" w:color="auto" w:fill="auto"/>
            <w:vAlign w:val="center"/>
          </w:tcPr>
          <w:p>
            <w:pPr>
              <w:pStyle w:val="5"/>
              <w:keepNext w:val="0"/>
              <w:keepLines w:val="0"/>
              <w:suppressLineNumbers w:val="0"/>
              <w:adjustRightInd w:val="0"/>
              <w:snapToGrid w:val="0"/>
              <w:spacing w:before="0" w:beforeAutospacing="0" w:after="0" w:afterAutospacing="0"/>
              <w:ind w:left="0" w:right="0"/>
              <w:jc w:val="center"/>
              <w:rPr>
                <w:rFonts w:hint="default" w:cs="宋体"/>
                <w:bCs/>
                <w:color w:val="000000"/>
                <w:sz w:val="24"/>
                <w:szCs w:val="24"/>
              </w:rPr>
            </w:pPr>
            <w:r>
              <w:rPr>
                <w:rFonts w:hint="eastAsia" w:cs="宋体"/>
                <w:bCs/>
                <w:color w:val="000000"/>
                <w:sz w:val="24"/>
                <w:szCs w:val="24"/>
              </w:rPr>
              <w:t>案件名称</w:t>
            </w:r>
          </w:p>
        </w:tc>
        <w:tc>
          <w:tcPr>
            <w:tcW w:w="7700" w:type="dxa"/>
            <w:gridSpan w:val="2"/>
            <w:vAlign w:val="center"/>
          </w:tcPr>
          <w:p>
            <w:pPr>
              <w:keepNext w:val="0"/>
              <w:keepLines w:val="0"/>
              <w:suppressLineNumbers w:val="0"/>
              <w:adjustRightInd w:val="0"/>
              <w:snapToGrid w:val="0"/>
              <w:spacing w:before="0" w:beforeAutospacing="0" w:after="0" w:afterAutospacing="0"/>
              <w:ind w:left="0" w:right="0"/>
              <w:rPr>
                <w:rFonts w:hint="default" w:cs="宋体"/>
                <w:bCs/>
                <w:color w:val="000000"/>
                <w:sz w:val="24"/>
                <w:szCs w:val="24"/>
              </w:rPr>
            </w:pPr>
            <w:r>
              <w:rPr>
                <w:rFonts w:hint="eastAsia"/>
                <w:sz w:val="24"/>
              </w:rPr>
              <w:t>AstraZeneca Continent B.V.与深圳康泰生物制品股份有限公司新设合营企业案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91" w:hRule="atLeast"/>
        </w:trPr>
        <w:tc>
          <w:tcPr>
            <w:tcW w:w="1940" w:type="dxa"/>
            <w:shd w:val="clear" w:color="auto" w:fill="auto"/>
            <w:vAlign w:val="center"/>
          </w:tcPr>
          <w:p>
            <w:pPr>
              <w:pStyle w:val="5"/>
              <w:keepNext w:val="0"/>
              <w:keepLines w:val="0"/>
              <w:suppressLineNumbers w:val="0"/>
              <w:adjustRightInd w:val="0"/>
              <w:snapToGrid w:val="0"/>
              <w:spacing w:before="0" w:beforeAutospacing="0" w:after="0" w:afterAutospacing="0"/>
              <w:ind w:left="0" w:right="0"/>
              <w:jc w:val="center"/>
              <w:rPr>
                <w:rFonts w:hint="default" w:cs="宋体"/>
                <w:bCs/>
                <w:color w:val="000000"/>
                <w:sz w:val="24"/>
                <w:szCs w:val="24"/>
              </w:rPr>
            </w:pPr>
            <w:r>
              <w:rPr>
                <w:rFonts w:hint="eastAsia" w:cs="宋体"/>
                <w:bCs/>
                <w:color w:val="000000"/>
                <w:sz w:val="24"/>
                <w:szCs w:val="24"/>
              </w:rPr>
              <w:t>交易概况（限200字内）</w:t>
            </w:r>
          </w:p>
        </w:tc>
        <w:tc>
          <w:tcPr>
            <w:tcW w:w="7700" w:type="dxa"/>
            <w:gridSpan w:val="2"/>
            <w:vAlign w:val="center"/>
          </w:tcPr>
          <w:p>
            <w:pPr>
              <w:keepNext w:val="0"/>
              <w:keepLines w:val="0"/>
              <w:suppressLineNumbers w:val="0"/>
              <w:adjustRightInd w:val="0"/>
              <w:snapToGrid w:val="0"/>
              <w:spacing w:before="0" w:beforeAutospacing="0" w:after="0" w:afterAutospacing="0"/>
              <w:ind w:left="0" w:right="0"/>
              <w:jc w:val="both"/>
              <w:rPr>
                <w:rFonts w:hint="default" w:cs="宋体"/>
                <w:sz w:val="24"/>
                <w:szCs w:val="24"/>
              </w:rPr>
            </w:pPr>
            <w:r>
              <w:rPr>
                <w:rFonts w:hint="eastAsia"/>
                <w:sz w:val="24"/>
              </w:rPr>
              <w:t>AstraZeneca Continent B.V.（“阿斯利康”）通过其关联实体与深圳康泰生物制品股份有限公司（“康泰生物”）签署协议，拟在北京市新设一家合营企业。合营企业将以A12疫苗为初始重点从事创新疫苗的开发、生产和商业利用。交易后，阿斯利康、康泰生物将分别持有合营企业50%、50%的股权，共同控制合营企业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42" w:hRule="atLeast"/>
        </w:trPr>
        <w:tc>
          <w:tcPr>
            <w:tcW w:w="1940" w:type="dxa"/>
            <w:vMerge w:val="restart"/>
            <w:shd w:val="clear" w:color="auto" w:fill="auto"/>
            <w:vAlign w:val="center"/>
          </w:tcPr>
          <w:p>
            <w:pPr>
              <w:pStyle w:val="5"/>
              <w:keepNext w:val="0"/>
              <w:keepLines w:val="0"/>
              <w:suppressLineNumbers w:val="0"/>
              <w:adjustRightInd w:val="0"/>
              <w:snapToGrid w:val="0"/>
              <w:spacing w:before="0" w:beforeAutospacing="0" w:after="0" w:afterAutospacing="0"/>
              <w:ind w:left="0" w:right="0"/>
              <w:jc w:val="center"/>
              <w:rPr>
                <w:rFonts w:hint="default" w:cs="宋体"/>
                <w:bCs/>
                <w:color w:val="000000"/>
                <w:sz w:val="24"/>
                <w:szCs w:val="24"/>
              </w:rPr>
            </w:pPr>
            <w:r>
              <w:rPr>
                <w:rFonts w:hint="eastAsia" w:cs="宋体"/>
                <w:bCs/>
                <w:color w:val="000000"/>
                <w:sz w:val="24"/>
                <w:szCs w:val="24"/>
              </w:rPr>
              <w:t>参与集中的经营者简介（每个限100字以内）</w:t>
            </w:r>
          </w:p>
        </w:tc>
        <w:tc>
          <w:tcPr>
            <w:tcW w:w="1607" w:type="dxa"/>
            <w:vAlign w:val="center"/>
          </w:tcPr>
          <w:p>
            <w:pPr>
              <w:pStyle w:val="5"/>
              <w:keepNext w:val="0"/>
              <w:keepLines w:val="0"/>
              <w:numPr>
                <w:ilvl w:val="-1"/>
                <w:numId w:val="0"/>
              </w:numPr>
              <w:suppressLineNumbers w:val="0"/>
              <w:adjustRightInd w:val="0"/>
              <w:snapToGrid w:val="0"/>
              <w:spacing w:before="0" w:beforeAutospacing="0" w:after="0" w:afterAutospacing="0"/>
              <w:ind w:left="0" w:right="0"/>
              <w:jc w:val="left"/>
              <w:rPr>
                <w:rFonts w:hint="eastAsia" w:eastAsia="宋体" w:cs="宋体"/>
                <w:bCs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 xml:space="preserve">1 </w:t>
            </w:r>
            <w:bookmarkStart w:id="0" w:name="_GoBack"/>
            <w:bookmarkEnd w:id="0"/>
            <w:r>
              <w:rPr>
                <w:rFonts w:hint="eastAsia"/>
                <w:sz w:val="24"/>
                <w:lang w:val="en-US" w:eastAsia="zh-CN"/>
              </w:rPr>
              <w:t>.</w:t>
            </w:r>
            <w:r>
              <w:rPr>
                <w:rFonts w:hint="eastAsia"/>
                <w:sz w:val="24"/>
              </w:rPr>
              <w:t>阿斯利康</w:t>
            </w:r>
          </w:p>
        </w:tc>
        <w:tc>
          <w:tcPr>
            <w:tcW w:w="6093" w:type="dxa"/>
            <w:vAlign w:val="center"/>
          </w:tcPr>
          <w:p>
            <w:pPr>
              <w:keepNext w:val="0"/>
              <w:keepLines w:val="0"/>
              <w:suppressLineNumbers w:val="0"/>
              <w:adjustRightInd w:val="0"/>
              <w:snapToGrid w:val="0"/>
              <w:spacing w:before="0" w:beforeAutospacing="0" w:after="0" w:afterAutospacing="0"/>
              <w:ind w:left="0" w:right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阿斯利康于1989年9月5日成立于荷兰，主要从事咨询服务、企业管理、融资以及为债务提供抵押或担保等业务，以及与之相关的支持性活动。</w:t>
            </w:r>
          </w:p>
          <w:p>
            <w:pPr>
              <w:keepNext w:val="0"/>
              <w:keepLines w:val="0"/>
              <w:suppressLineNumbers w:val="0"/>
              <w:adjustRightInd w:val="0"/>
              <w:snapToGrid w:val="0"/>
              <w:spacing w:before="0" w:beforeAutospacing="0" w:after="0" w:afterAutospacing="0"/>
              <w:ind w:left="0" w:right="0"/>
              <w:rPr>
                <w:rFonts w:hint="default" w:cs="宋体"/>
                <w:sz w:val="24"/>
                <w:szCs w:val="24"/>
              </w:rPr>
            </w:pPr>
            <w:r>
              <w:rPr>
                <w:rFonts w:hint="eastAsia"/>
                <w:sz w:val="24"/>
              </w:rPr>
              <w:t>阿斯利康的最终控制人为AstraZeneca PLC，主要从事制药业务。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4" w:hRule="atLeast"/>
        </w:trPr>
        <w:tc>
          <w:tcPr>
            <w:tcW w:w="1940" w:type="dxa"/>
            <w:vMerge w:val="continue"/>
            <w:shd w:val="clear" w:color="auto" w:fill="auto"/>
            <w:vAlign w:val="center"/>
          </w:tcPr>
          <w:p>
            <w:pPr>
              <w:pStyle w:val="5"/>
              <w:keepNext w:val="0"/>
              <w:keepLines w:val="0"/>
              <w:suppressLineNumbers w:val="0"/>
              <w:adjustRightInd w:val="0"/>
              <w:snapToGrid w:val="0"/>
              <w:spacing w:before="0" w:beforeAutospacing="0" w:after="0" w:afterAutospacing="0"/>
              <w:ind w:left="0" w:right="0"/>
              <w:jc w:val="center"/>
              <w:rPr>
                <w:rFonts w:hint="default" w:cs="宋体"/>
                <w:bCs/>
                <w:color w:val="000000"/>
                <w:sz w:val="24"/>
                <w:szCs w:val="24"/>
              </w:rPr>
            </w:pPr>
          </w:p>
        </w:tc>
        <w:tc>
          <w:tcPr>
            <w:tcW w:w="1607" w:type="dxa"/>
            <w:vAlign w:val="center"/>
          </w:tcPr>
          <w:p>
            <w:pPr>
              <w:pStyle w:val="5"/>
              <w:keepNext w:val="0"/>
              <w:keepLines w:val="0"/>
              <w:suppressLineNumbers w:val="0"/>
              <w:adjustRightInd w:val="0"/>
              <w:snapToGrid w:val="0"/>
              <w:spacing w:before="0" w:beforeAutospacing="0" w:after="0" w:afterAutospacing="0"/>
              <w:ind w:left="0" w:right="0"/>
              <w:rPr>
                <w:rFonts w:hint="default" w:eastAsia="宋体" w:cs="宋体"/>
                <w:bCs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Cs/>
                <w:color w:val="000000"/>
                <w:sz w:val="24"/>
                <w:szCs w:val="24"/>
              </w:rPr>
              <w:t>2</w:t>
            </w:r>
            <w:r>
              <w:rPr>
                <w:rFonts w:hint="eastAsia" w:cs="宋体"/>
                <w:bCs/>
                <w:color w:val="000000"/>
                <w:sz w:val="24"/>
                <w:szCs w:val="24"/>
                <w:lang w:val="en-US" w:eastAsia="zh-CN"/>
              </w:rPr>
              <w:t xml:space="preserve"> .</w:t>
            </w:r>
            <w:r>
              <w:rPr>
                <w:rFonts w:hint="eastAsia"/>
                <w:sz w:val="24"/>
              </w:rPr>
              <w:t>康泰生物</w:t>
            </w:r>
          </w:p>
        </w:tc>
        <w:tc>
          <w:tcPr>
            <w:tcW w:w="6093" w:type="dxa"/>
            <w:vAlign w:val="center"/>
          </w:tcPr>
          <w:p>
            <w:pPr>
              <w:keepNext w:val="0"/>
              <w:keepLines w:val="0"/>
              <w:suppressLineNumbers w:val="0"/>
              <w:adjustRightInd w:val="0"/>
              <w:snapToGrid w:val="0"/>
              <w:spacing w:before="0" w:beforeAutospacing="0" w:after="0" w:afterAutospacing="0"/>
              <w:ind w:left="0" w:right="0"/>
              <w:rPr>
                <w:rFonts w:hint="eastAsia" w:cs="宋体"/>
                <w:bCs/>
                <w:color w:val="000000"/>
                <w:sz w:val="24"/>
              </w:rPr>
            </w:pPr>
            <w:r>
              <w:rPr>
                <w:rFonts w:hint="eastAsia" w:cs="宋体"/>
                <w:bCs/>
                <w:color w:val="000000"/>
                <w:sz w:val="24"/>
              </w:rPr>
              <w:t>康泰生物于1992年9月8日成立于广东省深圳市，为深圳证券交易所上市公司，主要从事人用疫苗的研发、生产和销售业务。</w:t>
            </w:r>
          </w:p>
          <w:p>
            <w:pPr>
              <w:keepNext w:val="0"/>
              <w:keepLines w:val="0"/>
              <w:suppressLineNumbers w:val="0"/>
              <w:adjustRightInd w:val="0"/>
              <w:snapToGrid w:val="0"/>
              <w:spacing w:before="0" w:beforeAutospacing="0" w:after="0" w:afterAutospacing="0"/>
              <w:ind w:left="0" w:right="0"/>
              <w:rPr>
                <w:rFonts w:hint="eastAsia" w:eastAsia="宋体"/>
                <w:sz w:val="24"/>
                <w:szCs w:val="24"/>
                <w:lang w:eastAsia="zh-CN"/>
              </w:rPr>
            </w:pPr>
            <w:r>
              <w:rPr>
                <w:rFonts w:hint="eastAsia" w:cs="宋体"/>
                <w:bCs/>
                <w:color w:val="000000"/>
                <w:sz w:val="24"/>
              </w:rPr>
              <w:t>康泰生物的最终控制人为自然人</w:t>
            </w:r>
            <w:r>
              <w:rPr>
                <w:rFonts w:hint="eastAsia" w:cs="宋体"/>
                <w:bCs/>
                <w:color w:val="000000"/>
                <w:sz w:val="24"/>
                <w:highlight w:val="none"/>
              </w:rPr>
              <w:t>杜伟民，</w:t>
            </w:r>
            <w:r>
              <w:rPr>
                <w:rFonts w:hint="eastAsia" w:cs="宋体"/>
                <w:bCs/>
                <w:color w:val="000000"/>
                <w:sz w:val="24"/>
              </w:rPr>
              <w:t>主要</w:t>
            </w:r>
            <w:r>
              <w:rPr>
                <w:rFonts w:hint="eastAsia" w:cs="宋体"/>
                <w:bCs/>
                <w:color w:val="000000"/>
                <w:sz w:val="24"/>
                <w:lang w:eastAsia="zh-CN"/>
              </w:rPr>
              <w:t>通过康泰生物</w:t>
            </w:r>
            <w:r>
              <w:rPr>
                <w:rFonts w:hint="eastAsia" w:cs="宋体"/>
                <w:bCs/>
                <w:color w:val="000000"/>
                <w:sz w:val="24"/>
              </w:rPr>
              <w:t>从事人用疫苗的研发、生产和销售业务。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9" w:hRule="atLeast"/>
        </w:trPr>
        <w:tc>
          <w:tcPr>
            <w:tcW w:w="1940" w:type="dxa"/>
            <w:vMerge w:val="restart"/>
            <w:shd w:val="clear" w:color="auto" w:fill="auto"/>
            <w:vAlign w:val="center"/>
          </w:tcPr>
          <w:p>
            <w:pPr>
              <w:pStyle w:val="5"/>
              <w:keepNext w:val="0"/>
              <w:keepLines w:val="0"/>
              <w:suppressLineNumbers w:val="0"/>
              <w:adjustRightInd w:val="0"/>
              <w:snapToGrid w:val="0"/>
              <w:spacing w:before="0" w:beforeAutospacing="0" w:after="0" w:afterAutospacing="0"/>
              <w:ind w:left="0" w:right="0"/>
              <w:jc w:val="center"/>
              <w:rPr>
                <w:rFonts w:hint="default" w:cs="宋体"/>
                <w:bCs/>
                <w:color w:val="000000"/>
                <w:sz w:val="24"/>
                <w:szCs w:val="24"/>
              </w:rPr>
            </w:pPr>
            <w:r>
              <w:rPr>
                <w:rFonts w:hint="eastAsia" w:cs="宋体"/>
                <w:bCs/>
                <w:color w:val="000000"/>
                <w:sz w:val="24"/>
                <w:szCs w:val="24"/>
              </w:rPr>
              <w:t>简易案件理由（可以单选，也可以多选）</w:t>
            </w:r>
          </w:p>
        </w:tc>
        <w:tc>
          <w:tcPr>
            <w:tcW w:w="7700" w:type="dxa"/>
            <w:gridSpan w:val="2"/>
            <w:vAlign w:val="center"/>
          </w:tcPr>
          <w:p>
            <w:pPr>
              <w:pStyle w:val="5"/>
              <w:keepNext w:val="0"/>
              <w:keepLines w:val="0"/>
              <w:suppressLineNumbers w:val="0"/>
              <w:adjustRightInd w:val="0"/>
              <w:snapToGrid w:val="0"/>
              <w:spacing w:before="0" w:beforeAutospacing="0" w:after="0" w:afterAutospacing="0"/>
              <w:ind w:left="0" w:right="0"/>
              <w:rPr>
                <w:rFonts w:hint="default" w:cs="宋体"/>
                <w:bCs/>
                <w:color w:val="000000"/>
                <w:sz w:val="24"/>
                <w:szCs w:val="24"/>
              </w:rPr>
            </w:pPr>
            <w:r>
              <w:rPr>
                <w:rFonts w:hint="eastAsia" w:cs="宋体"/>
                <w:bCs/>
                <w:color w:val="000000"/>
                <w:sz w:val="24"/>
                <w:szCs w:val="24"/>
              </w:rPr>
              <w:sym w:font="Wingdings" w:char="00A8"/>
            </w:r>
            <w:r>
              <w:rPr>
                <w:rFonts w:hint="eastAsia" w:cs="宋体"/>
                <w:bCs/>
                <w:color w:val="000000"/>
                <w:sz w:val="24"/>
                <w:szCs w:val="24"/>
              </w:rPr>
              <w:t xml:space="preserve"> 1、在同一相关市场，所有参与集中的经营者所占市场份额之和小于15%。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1940" w:type="dxa"/>
            <w:vMerge w:val="continue"/>
            <w:shd w:val="clear" w:color="auto" w:fill="auto"/>
            <w:vAlign w:val="center"/>
          </w:tcPr>
          <w:p>
            <w:pPr>
              <w:pStyle w:val="5"/>
              <w:keepNext w:val="0"/>
              <w:keepLines w:val="0"/>
              <w:suppressLineNumbers w:val="0"/>
              <w:adjustRightInd w:val="0"/>
              <w:snapToGrid w:val="0"/>
              <w:spacing w:before="0" w:beforeAutospacing="0" w:after="0" w:afterAutospacing="0"/>
              <w:ind w:left="0" w:right="0"/>
              <w:jc w:val="center"/>
              <w:rPr>
                <w:rFonts w:hint="default" w:cs="宋体"/>
                <w:bCs/>
                <w:color w:val="000000"/>
                <w:sz w:val="24"/>
                <w:szCs w:val="24"/>
              </w:rPr>
            </w:pPr>
          </w:p>
        </w:tc>
        <w:tc>
          <w:tcPr>
            <w:tcW w:w="7700" w:type="dxa"/>
            <w:gridSpan w:val="2"/>
            <w:vAlign w:val="center"/>
          </w:tcPr>
          <w:p>
            <w:pPr>
              <w:pStyle w:val="5"/>
              <w:keepNext w:val="0"/>
              <w:keepLines w:val="0"/>
              <w:suppressLineNumbers w:val="0"/>
              <w:adjustRightInd w:val="0"/>
              <w:snapToGrid w:val="0"/>
              <w:spacing w:before="0" w:beforeAutospacing="0" w:after="0" w:afterAutospacing="0"/>
              <w:ind w:left="0" w:right="0"/>
              <w:rPr>
                <w:rFonts w:hint="default" w:cs="宋体"/>
                <w:bCs/>
                <w:color w:val="000000"/>
                <w:sz w:val="24"/>
                <w:szCs w:val="24"/>
              </w:rPr>
            </w:pPr>
            <w:r>
              <w:rPr>
                <w:rFonts w:hint="eastAsia" w:cs="宋体"/>
                <w:bCs/>
                <w:color w:val="000000"/>
                <w:sz w:val="24"/>
                <w:szCs w:val="24"/>
              </w:rPr>
              <w:sym w:font="Wingdings" w:char="00A8"/>
            </w:r>
            <w:r>
              <w:rPr>
                <w:rFonts w:hint="eastAsia" w:cs="宋体"/>
                <w:bCs/>
                <w:color w:val="000000"/>
                <w:sz w:val="24"/>
                <w:szCs w:val="24"/>
              </w:rPr>
              <w:t xml:space="preserve"> 2、存在上下游关系的参与集中的经营者，在上下游市场所占的市场份额均小于25%。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940" w:type="dxa"/>
            <w:vMerge w:val="continue"/>
            <w:shd w:val="clear" w:color="auto" w:fill="auto"/>
            <w:vAlign w:val="center"/>
          </w:tcPr>
          <w:p>
            <w:pPr>
              <w:pStyle w:val="5"/>
              <w:keepNext w:val="0"/>
              <w:keepLines w:val="0"/>
              <w:suppressLineNumbers w:val="0"/>
              <w:adjustRightInd w:val="0"/>
              <w:snapToGrid w:val="0"/>
              <w:spacing w:before="0" w:beforeAutospacing="0" w:after="0" w:afterAutospacing="0"/>
              <w:ind w:left="0" w:right="0"/>
              <w:jc w:val="center"/>
              <w:rPr>
                <w:rFonts w:hint="default" w:cs="宋体"/>
                <w:bCs/>
                <w:color w:val="000000"/>
                <w:sz w:val="24"/>
                <w:szCs w:val="24"/>
              </w:rPr>
            </w:pPr>
          </w:p>
        </w:tc>
        <w:tc>
          <w:tcPr>
            <w:tcW w:w="7700" w:type="dxa"/>
            <w:gridSpan w:val="2"/>
            <w:vAlign w:val="center"/>
          </w:tcPr>
          <w:p>
            <w:pPr>
              <w:pStyle w:val="5"/>
              <w:keepNext w:val="0"/>
              <w:keepLines w:val="0"/>
              <w:suppressLineNumbers w:val="0"/>
              <w:adjustRightInd w:val="0"/>
              <w:snapToGrid w:val="0"/>
              <w:spacing w:before="0" w:beforeAutospacing="0" w:after="0" w:afterAutospacing="0"/>
              <w:ind w:left="0" w:right="0"/>
              <w:rPr>
                <w:rFonts w:hint="default" w:cs="宋体"/>
                <w:bCs/>
                <w:color w:val="000000"/>
                <w:sz w:val="24"/>
                <w:szCs w:val="24"/>
              </w:rPr>
            </w:pPr>
            <w:r>
              <w:rPr>
                <w:rFonts w:hint="eastAsia" w:cs="宋体"/>
                <w:bCs/>
                <w:color w:val="000000"/>
                <w:sz w:val="24"/>
                <w:szCs w:val="24"/>
              </w:rPr>
              <w:sym w:font="Wingdings" w:char="00FE"/>
            </w:r>
            <w:r>
              <w:rPr>
                <w:rFonts w:hint="eastAsia" w:cs="宋体"/>
                <w:bCs/>
                <w:color w:val="000000"/>
                <w:sz w:val="24"/>
                <w:szCs w:val="24"/>
              </w:rPr>
              <w:t xml:space="preserve"> 3、不在同一相关市场、也不存在上下游关系的参与集中的经营者，在与交易有关的每个市场所占的份额均小于25%。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0" w:hRule="atLeast"/>
        </w:trPr>
        <w:tc>
          <w:tcPr>
            <w:tcW w:w="1940" w:type="dxa"/>
            <w:vMerge w:val="continue"/>
            <w:shd w:val="clear" w:color="auto" w:fill="auto"/>
            <w:vAlign w:val="center"/>
          </w:tcPr>
          <w:p>
            <w:pPr>
              <w:pStyle w:val="5"/>
              <w:keepNext w:val="0"/>
              <w:keepLines w:val="0"/>
              <w:suppressLineNumbers w:val="0"/>
              <w:adjustRightInd w:val="0"/>
              <w:snapToGrid w:val="0"/>
              <w:spacing w:before="0" w:beforeAutospacing="0" w:after="0" w:afterAutospacing="0"/>
              <w:ind w:left="0" w:right="0"/>
              <w:jc w:val="center"/>
              <w:rPr>
                <w:rFonts w:hint="default" w:cs="宋体"/>
                <w:bCs/>
                <w:color w:val="000000"/>
                <w:sz w:val="24"/>
                <w:szCs w:val="24"/>
              </w:rPr>
            </w:pPr>
          </w:p>
        </w:tc>
        <w:tc>
          <w:tcPr>
            <w:tcW w:w="7700" w:type="dxa"/>
            <w:gridSpan w:val="2"/>
            <w:vAlign w:val="center"/>
          </w:tcPr>
          <w:p>
            <w:pPr>
              <w:pStyle w:val="5"/>
              <w:keepNext w:val="0"/>
              <w:keepLines w:val="0"/>
              <w:suppressLineNumbers w:val="0"/>
              <w:adjustRightInd w:val="0"/>
              <w:snapToGrid w:val="0"/>
              <w:spacing w:before="0" w:beforeAutospacing="0" w:after="0" w:afterAutospacing="0"/>
              <w:ind w:left="0" w:right="0"/>
              <w:rPr>
                <w:rFonts w:hint="default" w:cs="宋体"/>
                <w:bCs/>
                <w:color w:val="000000"/>
                <w:sz w:val="24"/>
                <w:szCs w:val="24"/>
              </w:rPr>
            </w:pPr>
            <w:r>
              <w:rPr>
                <w:rFonts w:hint="eastAsia" w:cs="宋体"/>
                <w:bCs/>
                <w:color w:val="000000"/>
                <w:sz w:val="24"/>
                <w:szCs w:val="24"/>
              </w:rPr>
              <w:sym w:font="Wingdings" w:char="00A8"/>
            </w:r>
            <w:r>
              <w:rPr>
                <w:rFonts w:hint="eastAsia" w:cs="宋体"/>
                <w:bCs/>
                <w:color w:val="000000"/>
                <w:sz w:val="24"/>
                <w:szCs w:val="24"/>
              </w:rPr>
              <w:t xml:space="preserve"> 4、参与集中的经营者在中国境外设立合营企业，合营企业不在中国境内从事经济活动。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4" w:hRule="atLeast"/>
        </w:trPr>
        <w:tc>
          <w:tcPr>
            <w:tcW w:w="1940" w:type="dxa"/>
            <w:vMerge w:val="continue"/>
            <w:shd w:val="clear" w:color="auto" w:fill="auto"/>
            <w:vAlign w:val="center"/>
          </w:tcPr>
          <w:p>
            <w:pPr>
              <w:pStyle w:val="5"/>
              <w:keepNext w:val="0"/>
              <w:keepLines w:val="0"/>
              <w:suppressLineNumbers w:val="0"/>
              <w:adjustRightInd w:val="0"/>
              <w:snapToGrid w:val="0"/>
              <w:spacing w:before="0" w:beforeAutospacing="0" w:after="0" w:afterAutospacing="0"/>
              <w:ind w:left="0" w:right="0"/>
              <w:jc w:val="center"/>
              <w:rPr>
                <w:rFonts w:hint="default" w:cs="宋体"/>
                <w:bCs/>
                <w:color w:val="000000"/>
                <w:sz w:val="24"/>
                <w:szCs w:val="24"/>
              </w:rPr>
            </w:pPr>
          </w:p>
        </w:tc>
        <w:tc>
          <w:tcPr>
            <w:tcW w:w="7700" w:type="dxa"/>
            <w:gridSpan w:val="2"/>
            <w:vAlign w:val="center"/>
          </w:tcPr>
          <w:p>
            <w:pPr>
              <w:pStyle w:val="5"/>
              <w:keepNext w:val="0"/>
              <w:keepLines w:val="0"/>
              <w:suppressLineNumbers w:val="0"/>
              <w:adjustRightInd w:val="0"/>
              <w:snapToGrid w:val="0"/>
              <w:spacing w:before="0" w:beforeAutospacing="0" w:after="0" w:afterAutospacing="0"/>
              <w:ind w:left="0" w:right="0"/>
              <w:rPr>
                <w:rFonts w:hint="default" w:cs="宋体"/>
                <w:bCs/>
                <w:color w:val="000000"/>
                <w:sz w:val="24"/>
                <w:szCs w:val="24"/>
              </w:rPr>
            </w:pPr>
            <w:r>
              <w:rPr>
                <w:rFonts w:hint="eastAsia" w:cs="宋体"/>
                <w:bCs/>
                <w:color w:val="000000"/>
                <w:sz w:val="24"/>
                <w:szCs w:val="24"/>
              </w:rPr>
              <w:sym w:font="Wingdings" w:char="00A8"/>
            </w:r>
            <w:r>
              <w:rPr>
                <w:rFonts w:hint="eastAsia" w:cs="宋体"/>
                <w:bCs/>
                <w:color w:val="000000"/>
                <w:sz w:val="24"/>
                <w:szCs w:val="24"/>
              </w:rPr>
              <w:t xml:space="preserve"> 5、参与集中的经营者收购境外企业股权或资产的，该境外企业不在中国境内从事经济活动。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</w:trPr>
        <w:tc>
          <w:tcPr>
            <w:tcW w:w="1940" w:type="dxa"/>
            <w:vMerge w:val="continue"/>
            <w:shd w:val="clear" w:color="auto" w:fill="auto"/>
            <w:vAlign w:val="center"/>
          </w:tcPr>
          <w:p>
            <w:pPr>
              <w:pStyle w:val="5"/>
              <w:keepNext w:val="0"/>
              <w:keepLines w:val="0"/>
              <w:suppressLineNumbers w:val="0"/>
              <w:adjustRightInd w:val="0"/>
              <w:snapToGrid w:val="0"/>
              <w:spacing w:before="0" w:beforeAutospacing="0" w:after="0" w:afterAutospacing="0"/>
              <w:ind w:left="0" w:right="0"/>
              <w:jc w:val="center"/>
              <w:rPr>
                <w:rFonts w:hint="default" w:cs="宋体"/>
                <w:bCs/>
                <w:color w:val="000000"/>
                <w:sz w:val="24"/>
                <w:szCs w:val="24"/>
              </w:rPr>
            </w:pPr>
          </w:p>
        </w:tc>
        <w:tc>
          <w:tcPr>
            <w:tcW w:w="7700" w:type="dxa"/>
            <w:gridSpan w:val="2"/>
            <w:vAlign w:val="center"/>
          </w:tcPr>
          <w:p>
            <w:pPr>
              <w:pStyle w:val="5"/>
              <w:keepNext w:val="0"/>
              <w:keepLines w:val="0"/>
              <w:suppressLineNumbers w:val="0"/>
              <w:adjustRightInd w:val="0"/>
              <w:snapToGrid w:val="0"/>
              <w:spacing w:before="0" w:beforeAutospacing="0" w:after="0" w:afterAutospacing="0"/>
              <w:ind w:left="0" w:right="0"/>
              <w:rPr>
                <w:rFonts w:hint="default" w:cs="宋体"/>
                <w:bCs/>
                <w:color w:val="000000"/>
                <w:sz w:val="24"/>
                <w:szCs w:val="24"/>
              </w:rPr>
            </w:pPr>
            <w:r>
              <w:rPr>
                <w:rFonts w:hint="eastAsia" w:cs="宋体"/>
                <w:bCs/>
                <w:color w:val="000000"/>
                <w:sz w:val="24"/>
                <w:szCs w:val="24"/>
              </w:rPr>
              <w:sym w:font="Wingdings" w:char="00A8"/>
            </w:r>
            <w:r>
              <w:rPr>
                <w:rFonts w:hint="eastAsia" w:cs="宋体"/>
                <w:bCs/>
                <w:color w:val="000000"/>
                <w:sz w:val="24"/>
                <w:szCs w:val="24"/>
              </w:rPr>
              <w:t xml:space="preserve"> 6、由两个以上的经营者共同控制的合营企业，通过集中被其中一个或一个以上经营者控制。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50" w:hRule="atLeast"/>
        </w:trPr>
        <w:tc>
          <w:tcPr>
            <w:tcW w:w="1940" w:type="dxa"/>
            <w:shd w:val="clear" w:color="auto" w:fill="auto"/>
            <w:vAlign w:val="center"/>
          </w:tcPr>
          <w:p>
            <w:pPr>
              <w:pStyle w:val="5"/>
              <w:keepNext w:val="0"/>
              <w:keepLines w:val="0"/>
              <w:suppressLineNumbers w:val="0"/>
              <w:adjustRightInd w:val="0"/>
              <w:snapToGrid w:val="0"/>
              <w:spacing w:before="0" w:beforeAutospacing="0" w:after="0" w:afterAutospacing="0"/>
              <w:ind w:left="0" w:right="0"/>
              <w:jc w:val="center"/>
              <w:rPr>
                <w:rFonts w:hint="default" w:cs="宋体"/>
                <w:bCs/>
                <w:color w:val="000000"/>
                <w:sz w:val="24"/>
                <w:szCs w:val="24"/>
              </w:rPr>
            </w:pPr>
            <w:r>
              <w:rPr>
                <w:rFonts w:hint="eastAsia" w:cs="宋体"/>
                <w:bCs/>
                <w:color w:val="000000"/>
                <w:sz w:val="24"/>
                <w:szCs w:val="24"/>
              </w:rPr>
              <w:t>备注</w:t>
            </w:r>
          </w:p>
        </w:tc>
        <w:tc>
          <w:tcPr>
            <w:tcW w:w="7700" w:type="dxa"/>
            <w:gridSpan w:val="2"/>
            <w:vAlign w:val="center"/>
          </w:tcPr>
          <w:p>
            <w:pPr>
              <w:pStyle w:val="5"/>
              <w:keepNext w:val="0"/>
              <w:keepLines w:val="0"/>
              <w:suppressLineNumbers w:val="0"/>
              <w:adjustRightInd w:val="0"/>
              <w:snapToGrid w:val="0"/>
              <w:spacing w:before="0" w:beforeAutospacing="0" w:after="0" w:afterAutospacing="0"/>
              <w:ind w:left="0" w:right="0"/>
              <w:rPr>
                <w:rFonts w:hint="default" w:cs="Times New Roman"/>
                <w:b/>
                <w:bCs/>
                <w:lang w:eastAsia="zh-CN"/>
              </w:rPr>
            </w:pPr>
            <w:r>
              <w:rPr>
                <w:rFonts w:hint="eastAsia" w:cs="Times New Roman"/>
                <w:b/>
                <w:bCs/>
                <w:lang w:eastAsia="zh-CN"/>
              </w:rPr>
              <w:t>混合集中：</w:t>
            </w:r>
          </w:p>
          <w:p>
            <w:pPr>
              <w:pStyle w:val="5"/>
              <w:keepNext w:val="0"/>
              <w:keepLines w:val="0"/>
              <w:suppressLineNumbers w:val="0"/>
              <w:adjustRightInd w:val="0"/>
              <w:snapToGrid w:val="0"/>
              <w:spacing w:before="0" w:beforeAutospacing="0" w:after="0" w:afterAutospacing="0"/>
              <w:ind w:left="0" w:right="0"/>
              <w:rPr>
                <w:rFonts w:hint="default" w:cs="Times New Roman"/>
                <w:bCs/>
                <w:lang w:eastAsia="zh-CN"/>
              </w:rPr>
            </w:pPr>
            <w:r>
              <w:rPr>
                <w:rFonts w:hint="eastAsia" w:cs="Times New Roman"/>
                <w:bCs/>
                <w:lang w:eastAsia="zh-CN"/>
              </w:rPr>
              <w:t>中国境内呼吸道合胞病毒疫苗市场：</w:t>
            </w:r>
          </w:p>
          <w:p>
            <w:pPr>
              <w:pStyle w:val="5"/>
              <w:keepNext w:val="0"/>
              <w:keepLines w:val="0"/>
              <w:suppressLineNumbers w:val="0"/>
              <w:adjustRightInd w:val="0"/>
              <w:snapToGrid w:val="0"/>
              <w:spacing w:before="0" w:beforeAutospacing="0" w:after="0" w:afterAutospacing="0"/>
              <w:ind w:left="0" w:right="0"/>
              <w:rPr>
                <w:rFonts w:hint="eastAsia" w:eastAsia="宋体" w:cs="宋体"/>
                <w:bCs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cs="Times New Roman"/>
                <w:bCs/>
                <w:lang w:eastAsia="zh-CN"/>
              </w:rPr>
              <w:t>康泰生物（</w:t>
            </w:r>
            <w:r>
              <w:rPr>
                <w:rFonts w:hint="default" w:cs="Times New Roman"/>
                <w:bCs/>
                <w:lang w:eastAsia="zh-CN"/>
              </w:rPr>
              <w:t>2030</w:t>
            </w:r>
            <w:r>
              <w:rPr>
                <w:rFonts w:hint="eastAsia" w:cs="Times New Roman"/>
                <w:bCs/>
                <w:lang w:eastAsia="zh-CN"/>
              </w:rPr>
              <w:t>年预估）：</w:t>
            </w:r>
            <w:r>
              <w:rPr>
                <w:rFonts w:hint="default" w:cs="Times New Roman"/>
                <w:bCs/>
                <w:lang w:eastAsia="zh-CN"/>
              </w:rPr>
              <w:t>0-5%</w:t>
            </w:r>
            <w:r>
              <w:rPr>
                <w:rFonts w:hint="eastAsia" w:cs="Times New Roman"/>
                <w:bCs/>
                <w:lang w:eastAsia="zh-CN"/>
              </w:rPr>
              <w:t>，合营企业（</w:t>
            </w:r>
            <w:r>
              <w:rPr>
                <w:rFonts w:hint="default" w:cs="Times New Roman"/>
                <w:bCs/>
                <w:lang w:eastAsia="zh-CN"/>
              </w:rPr>
              <w:t>2030</w:t>
            </w:r>
            <w:r>
              <w:rPr>
                <w:rFonts w:hint="eastAsia" w:cs="Times New Roman"/>
                <w:bCs/>
                <w:lang w:eastAsia="zh-CN"/>
              </w:rPr>
              <w:t>年预估）：</w:t>
            </w:r>
            <w:r>
              <w:rPr>
                <w:rFonts w:hint="default" w:cs="Times New Roman"/>
                <w:bCs/>
                <w:lang w:eastAsia="zh-CN"/>
              </w:rPr>
              <w:t>0-5%</w:t>
            </w:r>
          </w:p>
        </w:tc>
      </w:tr>
    </w:tbl>
    <w:p>
      <w:pPr>
        <w:pStyle w:val="2"/>
        <w:rPr>
          <w:rFonts w:hint="default"/>
        </w:rPr>
      </w:pPr>
    </w:p>
    <w:sectPr>
      <w:footerReference r:id="rId3" w:type="default"/>
      <w:pgSz w:w="11906" w:h="16838"/>
      <w:pgMar w:top="1440" w:right="1800" w:bottom="1440" w:left="1800" w:header="851" w:footer="992" w:gutter="0"/>
      <w:pgNumType w:fmt="decimal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方正书宋_GB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2000609000000000000"/>
    <w:charset w:val="02"/>
    <w:family w:val="roman"/>
    <w:pitch w:val="default"/>
    <w:sig w:usb0="800000AF" w:usb1="4000204A" w:usb2="00000000" w:usb3="00000000" w:csb0="2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方正小标宋简体">
    <w:panose1 w:val="02000000000000000000"/>
    <w:charset w:val="86"/>
    <w:family w:val="script"/>
    <w:pitch w:val="default"/>
    <w:sig w:usb0="A00002BF" w:usb1="184F6CFA" w:usb2="00000012" w:usb3="00000000" w:csb0="00040001" w:csb1="00000000"/>
  </w:font>
  <w:font w:name="Simplified Arabic">
    <w:altName w:val="Arial"/>
    <w:panose1 w:val="02020603050405020304"/>
    <w:charset w:val="B2"/>
    <w:family w:val="roman"/>
    <w:pitch w:val="default"/>
    <w:sig w:usb0="00000000" w:usb1="00000000" w:usb2="00000000" w:usb3="00000000" w:csb0="00000041" w:csb1="20080000"/>
  </w:font>
  <w:font w:name="楷体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方正书宋_GBK">
    <w:panose1 w:val="02000000000000000000"/>
    <w:charset w:val="86"/>
    <w:family w:val="auto"/>
    <w:pitch w:val="default"/>
    <w:sig w:usb0="00000001" w:usb1="0800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7"/>
      <w:tabs>
        <w:tab w:val="clear" w:pos="4153"/>
      </w:tabs>
    </w:pPr>
    <w:r>
      <w:rPr>
        <w:rFonts w:hint="eastAsia"/>
        <w:lang w:eastAsia="zh-CN"/>
      </w:rPr>
      <w:tab/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false"/>
  <w:bordersDoNotSurroundFooter w:val="false"/>
  <w:trackRevisions w:val="true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TNmMTI0ODhhNzFmMGU3MTZhMTA0ODYxYzI1N2YwYjIifQ=="/>
  </w:docVars>
  <w:rsids>
    <w:rsidRoot w:val="511505E7"/>
    <w:rsid w:val="00042BDD"/>
    <w:rsid w:val="0007692D"/>
    <w:rsid w:val="00087338"/>
    <w:rsid w:val="00114814"/>
    <w:rsid w:val="001B50F2"/>
    <w:rsid w:val="001C6148"/>
    <w:rsid w:val="001F1C3C"/>
    <w:rsid w:val="0022179C"/>
    <w:rsid w:val="00221FCA"/>
    <w:rsid w:val="00244DF9"/>
    <w:rsid w:val="00284710"/>
    <w:rsid w:val="00332EAC"/>
    <w:rsid w:val="00346B84"/>
    <w:rsid w:val="00367A54"/>
    <w:rsid w:val="004C4C54"/>
    <w:rsid w:val="00500F51"/>
    <w:rsid w:val="00504BEC"/>
    <w:rsid w:val="00507863"/>
    <w:rsid w:val="005C4EFC"/>
    <w:rsid w:val="0062408E"/>
    <w:rsid w:val="00627CE6"/>
    <w:rsid w:val="00646E32"/>
    <w:rsid w:val="006A20C6"/>
    <w:rsid w:val="006C3B44"/>
    <w:rsid w:val="00707821"/>
    <w:rsid w:val="0072474D"/>
    <w:rsid w:val="00734F51"/>
    <w:rsid w:val="007D63FA"/>
    <w:rsid w:val="007F706B"/>
    <w:rsid w:val="00816711"/>
    <w:rsid w:val="00826195"/>
    <w:rsid w:val="008472A3"/>
    <w:rsid w:val="00876497"/>
    <w:rsid w:val="009040AD"/>
    <w:rsid w:val="00934D60"/>
    <w:rsid w:val="00A73286"/>
    <w:rsid w:val="00B45330"/>
    <w:rsid w:val="00B93533"/>
    <w:rsid w:val="00BC4863"/>
    <w:rsid w:val="00BD3FB4"/>
    <w:rsid w:val="00BE051D"/>
    <w:rsid w:val="00C046B3"/>
    <w:rsid w:val="00D11F6E"/>
    <w:rsid w:val="00D14CED"/>
    <w:rsid w:val="00E40607"/>
    <w:rsid w:val="00E4263C"/>
    <w:rsid w:val="00E466FD"/>
    <w:rsid w:val="00F63099"/>
    <w:rsid w:val="00F7053E"/>
    <w:rsid w:val="00F90810"/>
    <w:rsid w:val="00FD5EA5"/>
    <w:rsid w:val="00FF42DD"/>
    <w:rsid w:val="011DF4EB"/>
    <w:rsid w:val="01B165CE"/>
    <w:rsid w:val="0217304F"/>
    <w:rsid w:val="02515359"/>
    <w:rsid w:val="030806B1"/>
    <w:rsid w:val="03490091"/>
    <w:rsid w:val="03D70EC9"/>
    <w:rsid w:val="04B425C4"/>
    <w:rsid w:val="04B85AFF"/>
    <w:rsid w:val="05AB50DB"/>
    <w:rsid w:val="06075F29"/>
    <w:rsid w:val="072729B8"/>
    <w:rsid w:val="07D6476B"/>
    <w:rsid w:val="087232C3"/>
    <w:rsid w:val="08D6542E"/>
    <w:rsid w:val="08ED34FD"/>
    <w:rsid w:val="093446A7"/>
    <w:rsid w:val="0AF22185"/>
    <w:rsid w:val="0B1835C3"/>
    <w:rsid w:val="0B63273E"/>
    <w:rsid w:val="0BD91CE7"/>
    <w:rsid w:val="0C6B60D7"/>
    <w:rsid w:val="0CBD4BAF"/>
    <w:rsid w:val="0D7FCEE7"/>
    <w:rsid w:val="0DE526A7"/>
    <w:rsid w:val="0E5C7E9D"/>
    <w:rsid w:val="0EEC791B"/>
    <w:rsid w:val="0F272A69"/>
    <w:rsid w:val="0FA436B7"/>
    <w:rsid w:val="0FBBC6D8"/>
    <w:rsid w:val="10C02711"/>
    <w:rsid w:val="1295728D"/>
    <w:rsid w:val="12ED74AA"/>
    <w:rsid w:val="130B6D76"/>
    <w:rsid w:val="13236AF1"/>
    <w:rsid w:val="13D6674E"/>
    <w:rsid w:val="150C1E94"/>
    <w:rsid w:val="15D94F21"/>
    <w:rsid w:val="15E47716"/>
    <w:rsid w:val="1680064E"/>
    <w:rsid w:val="17436509"/>
    <w:rsid w:val="1AA11230"/>
    <w:rsid w:val="1B2D6269"/>
    <w:rsid w:val="1BF9394B"/>
    <w:rsid w:val="1BF9AB71"/>
    <w:rsid w:val="1C361957"/>
    <w:rsid w:val="1DA24124"/>
    <w:rsid w:val="1DFE30C6"/>
    <w:rsid w:val="1FC81833"/>
    <w:rsid w:val="20C2797E"/>
    <w:rsid w:val="215B059A"/>
    <w:rsid w:val="24606B41"/>
    <w:rsid w:val="246736EB"/>
    <w:rsid w:val="24840815"/>
    <w:rsid w:val="25C17900"/>
    <w:rsid w:val="261144B9"/>
    <w:rsid w:val="27B435B3"/>
    <w:rsid w:val="27ED6C10"/>
    <w:rsid w:val="281C288D"/>
    <w:rsid w:val="289A6D28"/>
    <w:rsid w:val="2B795B9C"/>
    <w:rsid w:val="2C0C7CCC"/>
    <w:rsid w:val="2CAC25FF"/>
    <w:rsid w:val="2DA61BF1"/>
    <w:rsid w:val="2ECF569F"/>
    <w:rsid w:val="2F0902B7"/>
    <w:rsid w:val="3025112D"/>
    <w:rsid w:val="319E78FD"/>
    <w:rsid w:val="326E3FCD"/>
    <w:rsid w:val="339B1A7D"/>
    <w:rsid w:val="34527864"/>
    <w:rsid w:val="356065C1"/>
    <w:rsid w:val="35741F7B"/>
    <w:rsid w:val="35927D49"/>
    <w:rsid w:val="36647739"/>
    <w:rsid w:val="36722108"/>
    <w:rsid w:val="37736187"/>
    <w:rsid w:val="37EC4B4C"/>
    <w:rsid w:val="3A7D25F4"/>
    <w:rsid w:val="3B6C128B"/>
    <w:rsid w:val="3BF42FA2"/>
    <w:rsid w:val="3C1B3849"/>
    <w:rsid w:val="3DBE0E38"/>
    <w:rsid w:val="3DCF2C73"/>
    <w:rsid w:val="3E3B322A"/>
    <w:rsid w:val="3EB73502"/>
    <w:rsid w:val="3EB7365E"/>
    <w:rsid w:val="3EBE2D3F"/>
    <w:rsid w:val="3ED7D01C"/>
    <w:rsid w:val="3EE73D98"/>
    <w:rsid w:val="3FFFF7A9"/>
    <w:rsid w:val="40D7777E"/>
    <w:rsid w:val="41D779C0"/>
    <w:rsid w:val="436E421B"/>
    <w:rsid w:val="43E353FE"/>
    <w:rsid w:val="45E92E66"/>
    <w:rsid w:val="46845245"/>
    <w:rsid w:val="46F216C3"/>
    <w:rsid w:val="48567BBA"/>
    <w:rsid w:val="48604985"/>
    <w:rsid w:val="48C332AF"/>
    <w:rsid w:val="49857111"/>
    <w:rsid w:val="498A72A0"/>
    <w:rsid w:val="49DD6CEB"/>
    <w:rsid w:val="4C824703"/>
    <w:rsid w:val="4CC01CF8"/>
    <w:rsid w:val="4CFD75DE"/>
    <w:rsid w:val="4D533669"/>
    <w:rsid w:val="4D611881"/>
    <w:rsid w:val="4DB67BAD"/>
    <w:rsid w:val="4DBF710D"/>
    <w:rsid w:val="4DDB0C16"/>
    <w:rsid w:val="4E585190"/>
    <w:rsid w:val="4E626EA5"/>
    <w:rsid w:val="4F7D0643"/>
    <w:rsid w:val="4FFE4A4F"/>
    <w:rsid w:val="50CB3BDA"/>
    <w:rsid w:val="511505E7"/>
    <w:rsid w:val="5275657D"/>
    <w:rsid w:val="53701092"/>
    <w:rsid w:val="53DE53F7"/>
    <w:rsid w:val="549363D0"/>
    <w:rsid w:val="54D26C3D"/>
    <w:rsid w:val="54DD7AC9"/>
    <w:rsid w:val="55413F6A"/>
    <w:rsid w:val="558A3AEC"/>
    <w:rsid w:val="55FF4F39"/>
    <w:rsid w:val="563C0C84"/>
    <w:rsid w:val="567C47AD"/>
    <w:rsid w:val="568C7EFA"/>
    <w:rsid w:val="5721053D"/>
    <w:rsid w:val="5737FFAD"/>
    <w:rsid w:val="5A320350"/>
    <w:rsid w:val="5A4E1134"/>
    <w:rsid w:val="5A8F5421"/>
    <w:rsid w:val="5AB377AC"/>
    <w:rsid w:val="5ADB7A9F"/>
    <w:rsid w:val="5BDF7AA8"/>
    <w:rsid w:val="5BF7146E"/>
    <w:rsid w:val="5CC770F3"/>
    <w:rsid w:val="5D7B194B"/>
    <w:rsid w:val="5E606197"/>
    <w:rsid w:val="5E758AD3"/>
    <w:rsid w:val="5F5B3889"/>
    <w:rsid w:val="5F7404E1"/>
    <w:rsid w:val="5F7BBE1B"/>
    <w:rsid w:val="5FBF6716"/>
    <w:rsid w:val="60B85CFA"/>
    <w:rsid w:val="61AC7C2D"/>
    <w:rsid w:val="61F32521"/>
    <w:rsid w:val="6229E334"/>
    <w:rsid w:val="63F6661D"/>
    <w:rsid w:val="64F94FB6"/>
    <w:rsid w:val="64FF0119"/>
    <w:rsid w:val="650C61D5"/>
    <w:rsid w:val="65183212"/>
    <w:rsid w:val="65AC0421"/>
    <w:rsid w:val="66AA099A"/>
    <w:rsid w:val="66E53709"/>
    <w:rsid w:val="67090219"/>
    <w:rsid w:val="6754015D"/>
    <w:rsid w:val="67885F66"/>
    <w:rsid w:val="67D469E8"/>
    <w:rsid w:val="685D233B"/>
    <w:rsid w:val="69961B9A"/>
    <w:rsid w:val="69C0748D"/>
    <w:rsid w:val="6A7D30C3"/>
    <w:rsid w:val="6B9261CD"/>
    <w:rsid w:val="6B9A71CB"/>
    <w:rsid w:val="6BCB1BF4"/>
    <w:rsid w:val="6BCC0CB3"/>
    <w:rsid w:val="6C45316D"/>
    <w:rsid w:val="6CBF87B4"/>
    <w:rsid w:val="6DED96DF"/>
    <w:rsid w:val="6DEFBAE0"/>
    <w:rsid w:val="6E372E5F"/>
    <w:rsid w:val="6E786ABC"/>
    <w:rsid w:val="6FDF5799"/>
    <w:rsid w:val="710A7485"/>
    <w:rsid w:val="71394751"/>
    <w:rsid w:val="72131803"/>
    <w:rsid w:val="723024E6"/>
    <w:rsid w:val="73026B48"/>
    <w:rsid w:val="74566BED"/>
    <w:rsid w:val="74CE550B"/>
    <w:rsid w:val="75FC6A6F"/>
    <w:rsid w:val="767FE0B3"/>
    <w:rsid w:val="76CA40F3"/>
    <w:rsid w:val="77527FDF"/>
    <w:rsid w:val="77FFCFC3"/>
    <w:rsid w:val="78410251"/>
    <w:rsid w:val="785A2CB0"/>
    <w:rsid w:val="793FB7A1"/>
    <w:rsid w:val="7A9C06E1"/>
    <w:rsid w:val="7AB91678"/>
    <w:rsid w:val="7B8F578C"/>
    <w:rsid w:val="7B9A66EF"/>
    <w:rsid w:val="7BE411F0"/>
    <w:rsid w:val="7BEF0283"/>
    <w:rsid w:val="7BFFD823"/>
    <w:rsid w:val="7C7918BC"/>
    <w:rsid w:val="7D8E8A18"/>
    <w:rsid w:val="7E51A4E4"/>
    <w:rsid w:val="7EBDA18C"/>
    <w:rsid w:val="7EE72273"/>
    <w:rsid w:val="7EF7CDD2"/>
    <w:rsid w:val="7F3E3F45"/>
    <w:rsid w:val="7F7BEB9D"/>
    <w:rsid w:val="7FB5C036"/>
    <w:rsid w:val="7FBF2495"/>
    <w:rsid w:val="7FDCAB43"/>
    <w:rsid w:val="7FE91E78"/>
    <w:rsid w:val="7FEADF03"/>
    <w:rsid w:val="7FFDE69B"/>
    <w:rsid w:val="9CBD0B1A"/>
    <w:rsid w:val="9EF6604C"/>
    <w:rsid w:val="A7F9C1DE"/>
    <w:rsid w:val="B593FB7D"/>
    <w:rsid w:val="B8BE5849"/>
    <w:rsid w:val="BCB7048F"/>
    <w:rsid w:val="BF8E36EE"/>
    <w:rsid w:val="BFDFB85E"/>
    <w:rsid w:val="BFF5AD43"/>
    <w:rsid w:val="BFF739EC"/>
    <w:rsid w:val="D74FDA90"/>
    <w:rsid w:val="D7FFD2F4"/>
    <w:rsid w:val="D9FFDD10"/>
    <w:rsid w:val="DDEFBA43"/>
    <w:rsid w:val="DEAFB90F"/>
    <w:rsid w:val="DF21B821"/>
    <w:rsid w:val="DF9BF5C7"/>
    <w:rsid w:val="DFD76A11"/>
    <w:rsid w:val="E3CF85CB"/>
    <w:rsid w:val="E9F71F09"/>
    <w:rsid w:val="EAFD8D58"/>
    <w:rsid w:val="EB6C770B"/>
    <w:rsid w:val="EBCD181E"/>
    <w:rsid w:val="EBF8DBF2"/>
    <w:rsid w:val="EEBFA8B1"/>
    <w:rsid w:val="EF7C48A7"/>
    <w:rsid w:val="EF9FD700"/>
    <w:rsid w:val="EFFFDD70"/>
    <w:rsid w:val="F1B778F1"/>
    <w:rsid w:val="F3FF743F"/>
    <w:rsid w:val="F4FF55F7"/>
    <w:rsid w:val="F7FD911C"/>
    <w:rsid w:val="F7FF5915"/>
    <w:rsid w:val="F9DF2CA6"/>
    <w:rsid w:val="FB3326CC"/>
    <w:rsid w:val="FBBF8A62"/>
    <w:rsid w:val="FBCE4D19"/>
    <w:rsid w:val="FDBF10AA"/>
    <w:rsid w:val="FDFD4EA0"/>
    <w:rsid w:val="FED515C0"/>
    <w:rsid w:val="FEFBBBDF"/>
    <w:rsid w:val="FF6B92DC"/>
    <w:rsid w:val="FFBC3961"/>
    <w:rsid w:val="FFDD1EA1"/>
    <w:rsid w:val="FFE7A9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qFormat="1"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qFormat="1" w:unhideWhenUsed="0" w:uiPriority="99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iPriority="99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qFormat="1"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3">
    <w:name w:val="heading 1"/>
    <w:basedOn w:val="1"/>
    <w:next w:val="1"/>
    <w:qFormat/>
    <w:uiPriority w:val="9"/>
    <w:pPr>
      <w:spacing w:after="156" w:afterLines="50" w:line="640" w:lineRule="exact"/>
      <w:outlineLvl w:val="0"/>
    </w:pPr>
    <w:rPr>
      <w:rFonts w:ascii="方正小标宋简体" w:eastAsia="方正小标宋简体"/>
      <w:sz w:val="44"/>
      <w:szCs w:val="36"/>
    </w:rPr>
  </w:style>
  <w:style w:type="character" w:default="1" w:styleId="13">
    <w:name w:val="Default Paragraph Font"/>
    <w:semiHidden/>
    <w:unhideWhenUsed/>
    <w:qFormat/>
    <w:uiPriority w:val="1"/>
  </w:style>
  <w:style w:type="table" w:default="1" w:styleId="11">
    <w:name w:val="Normal Table"/>
    <w:semiHidden/>
    <w:unhideWhenUsed/>
    <w:qFormat/>
    <w:uiPriority w:val="99"/>
    <w:pPr>
      <w:keepNext w:val="0"/>
      <w:keepLines w:val="0"/>
      <w:widowControl/>
      <w:suppressLineNumbers w:val="0"/>
      <w:spacing w:before="0" w:beforeAutospacing="0" w:after="0" w:afterAutospacing="0"/>
      <w:ind w:left="0" w:right="0"/>
    </w:pPr>
    <w:rPr>
      <w:rFonts w:hint="default" w:ascii="Times New Roman" w:hAnsi="Times New Roman" w:cs="Times New Roman"/>
      <w:sz w:val="20"/>
      <w:szCs w:val="20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Indent"/>
    <w:basedOn w:val="1"/>
    <w:next w:val="1"/>
    <w:qFormat/>
    <w:uiPriority w:val="99"/>
  </w:style>
  <w:style w:type="paragraph" w:styleId="4">
    <w:name w:val="annotation text"/>
    <w:basedOn w:val="1"/>
    <w:qFormat/>
    <w:uiPriority w:val="0"/>
    <w:pPr>
      <w:jc w:val="left"/>
    </w:pPr>
  </w:style>
  <w:style w:type="paragraph" w:styleId="5">
    <w:name w:val="Body Text"/>
    <w:basedOn w:val="1"/>
    <w:next w:val="6"/>
    <w:link w:val="19"/>
    <w:unhideWhenUsed/>
    <w:qFormat/>
    <w:uiPriority w:val="99"/>
    <w:pPr>
      <w:spacing w:after="120"/>
    </w:pPr>
  </w:style>
  <w:style w:type="paragraph" w:styleId="6">
    <w:name w:val="Body Text First Indent"/>
    <w:basedOn w:val="5"/>
    <w:qFormat/>
    <w:uiPriority w:val="0"/>
    <w:pPr>
      <w:ind w:firstLine="420" w:firstLineChars="100"/>
    </w:pPr>
  </w:style>
  <w:style w:type="paragraph" w:styleId="7">
    <w:name w:val="footer"/>
    <w:basedOn w:val="1"/>
    <w:link w:val="18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8">
    <w:name w:val="header"/>
    <w:basedOn w:val="1"/>
    <w:link w:val="17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9">
    <w:name w:val="toc 2"/>
    <w:basedOn w:val="1"/>
    <w:next w:val="1"/>
    <w:qFormat/>
    <w:uiPriority w:val="0"/>
    <w:pPr>
      <w:ind w:left="420" w:leftChars="200"/>
    </w:pPr>
    <w:rPr>
      <w:rFonts w:ascii="Times New Roman" w:hAnsi="Times New Roman" w:eastAsia="宋体"/>
      <w:sz w:val="30"/>
    </w:rPr>
  </w:style>
  <w:style w:type="paragraph" w:styleId="10">
    <w:name w:val="Normal (Web)"/>
    <w:basedOn w:val="1"/>
    <w:qFormat/>
    <w:uiPriority w:val="0"/>
    <w:rPr>
      <w:sz w:val="24"/>
    </w:rPr>
  </w:style>
  <w:style w:type="table" w:styleId="12">
    <w:name w:val="Table Grid"/>
    <w:basedOn w:val="11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character" w:styleId="14">
    <w:name w:val="page number"/>
    <w:qFormat/>
    <w:uiPriority w:val="0"/>
    <w:rPr>
      <w:rFonts w:ascii="Times New Roman" w:hAnsi="Times New Roman" w:eastAsia="宋体" w:cs="Simplified Arabic"/>
      <w:sz w:val="24"/>
      <w:szCs w:val="24"/>
      <w:lang w:val="en-GB" w:bidi="ar-AE"/>
    </w:rPr>
  </w:style>
  <w:style w:type="paragraph" w:customStyle="1" w:styleId="15">
    <w:name w:val="名称2"/>
    <w:basedOn w:val="16"/>
    <w:qFormat/>
    <w:uiPriority w:val="0"/>
    <w:pPr>
      <w:spacing w:after="312" w:afterLines="100"/>
    </w:pPr>
    <w:rPr>
      <w:b w:val="0"/>
      <w:sz w:val="20"/>
    </w:rPr>
  </w:style>
  <w:style w:type="paragraph" w:customStyle="1" w:styleId="16">
    <w:name w:val="名称"/>
    <w:basedOn w:val="1"/>
    <w:qFormat/>
    <w:uiPriority w:val="0"/>
    <w:pPr>
      <w:jc w:val="center"/>
    </w:pPr>
    <w:rPr>
      <w:b/>
      <w:kern w:val="0"/>
      <w:sz w:val="44"/>
      <w:szCs w:val="20"/>
    </w:rPr>
  </w:style>
  <w:style w:type="character" w:customStyle="1" w:styleId="17">
    <w:name w:val="页眉 字符"/>
    <w:basedOn w:val="13"/>
    <w:link w:val="8"/>
    <w:qFormat/>
    <w:uiPriority w:val="0"/>
    <w:rPr>
      <w:rFonts w:ascii="Times New Roman" w:hAnsi="Times New Roman" w:eastAsia="宋体" w:cs="Times New Roman"/>
      <w:kern w:val="2"/>
      <w:sz w:val="18"/>
      <w:szCs w:val="18"/>
    </w:rPr>
  </w:style>
  <w:style w:type="character" w:customStyle="1" w:styleId="18">
    <w:name w:val="页脚 字符"/>
    <w:basedOn w:val="13"/>
    <w:link w:val="7"/>
    <w:qFormat/>
    <w:uiPriority w:val="0"/>
    <w:rPr>
      <w:rFonts w:ascii="Times New Roman" w:hAnsi="Times New Roman" w:eastAsia="宋体" w:cs="Times New Roman"/>
      <w:kern w:val="2"/>
      <w:sz w:val="18"/>
      <w:szCs w:val="18"/>
    </w:rPr>
  </w:style>
  <w:style w:type="character" w:customStyle="1" w:styleId="19">
    <w:name w:val="正文文本 字符"/>
    <w:basedOn w:val="13"/>
    <w:link w:val="5"/>
    <w:qFormat/>
    <w:uiPriority w:val="99"/>
    <w:rPr>
      <w:rFonts w:ascii="Times New Roman" w:hAnsi="Times New Roman" w:eastAsia="宋体" w:cs="Times New Roman"/>
      <w:kern w:val="2"/>
      <w:sz w:val="21"/>
      <w:szCs w:val="24"/>
    </w:rPr>
  </w:style>
  <w:style w:type="paragraph" w:styleId="20">
    <w:name w:val="List Paragraph"/>
    <w:basedOn w:val="1"/>
    <w:qFormat/>
    <w:uiPriority w:val="99"/>
    <w:pPr>
      <w:ind w:firstLine="420" w:firstLineChars="200"/>
    </w:pPr>
  </w:style>
  <w:style w:type="paragraph" w:customStyle="1" w:styleId="21">
    <w:name w:val="Footer Right"/>
    <w:basedOn w:val="7"/>
    <w:qFormat/>
    <w:uiPriority w:val="0"/>
    <w:pPr>
      <w:jc w:val="right"/>
    </w:pPr>
  </w:style>
  <w:style w:type="paragraph" w:customStyle="1" w:styleId="22">
    <w:name w:val="KWMCN-标准"/>
    <w:qFormat/>
    <w:uiPriority w:val="0"/>
    <w:pPr>
      <w:adjustRightInd w:val="0"/>
      <w:snapToGrid w:val="0"/>
      <w:spacing w:after="360" w:line="320" w:lineRule="atLeast"/>
      <w:jc w:val="both"/>
    </w:pPr>
    <w:rPr>
      <w:rFonts w:ascii="Arial" w:hAnsi="Arial" w:eastAsia="楷体_GB2312" w:cstheme="minorBidi"/>
      <w:kern w:val="2"/>
      <w:sz w:val="24"/>
      <w:szCs w:val="21"/>
      <w:lang w:val="en-US" w:eastAsia="zh-CN" w:bidi="ar-SA"/>
    </w:rPr>
  </w:style>
  <w:style w:type="character" w:customStyle="1" w:styleId="23">
    <w:name w:val="15"/>
    <w:basedOn w:val="13"/>
    <w:qFormat/>
    <w:uiPriority w:val="0"/>
    <w:rPr>
      <w:rFonts w:hint="default" w:ascii="Times New Roman" w:hAnsi="Times New Roman" w:eastAsia="宋体" w:cs="Simplified Arabic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其他省直机关单位</Company>
  <Pages>1</Pages>
  <Words>1935</Words>
  <Characters>2112</Characters>
  <Lines>1</Lines>
  <Paragraphs>1</Paragraphs>
  <TotalTime>6</TotalTime>
  <ScaleCrop>false</ScaleCrop>
  <LinksUpToDate>false</LinksUpToDate>
  <CharactersWithSpaces>2236</CharactersWithSpaces>
  <Application>WPS Office_11.8.2.10125_F1E327BC-269C-435d-A152-05C5408002CA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2023-03-05T01:34:00Z</dcterms:created>
  <dc:creator>张斌（反垄断处）</dc:creator>
  <cp:lastModifiedBy>scj</cp:lastModifiedBy>
  <cp:lastPrinted>2024-04-11T17:34:00Z</cp:lastPrinted>
  <dcterms:modified xsi:type="dcterms:W3CDTF">2025-07-08T16:07:06Z</dcterms:modified>
  <dc:title>关于经营者集中反垄断审查案件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2052-11.8.2.10125</vt:lpwstr>
  </property>
  <property fmtid="{D5CDD505-2E9C-101B-9397-08002B2CF9AE}" pid="3" name="ICV">
    <vt:lpwstr>A00589117B741E1E3D26C86769E7025F</vt:lpwstr>
  </property>
  <property fmtid="{D5CDD505-2E9C-101B-9397-08002B2CF9AE}" pid="4" name="KSOTemplateDocerSaveRecord">
    <vt:lpwstr>eyJoZGlkIjoiNDQzMGY5ZWI0OWM3ZDY2ZDVhMWJmNzNkNjA0OTkyOWYiLCJ1c2VySWQiOiIzNzgxNDI0MDcifQ==</vt:lpwstr>
  </property>
</Properties>
</file>