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9B91CE">
      <w:pPr>
        <w:keepNext w:val="0"/>
        <w:keepLines w:val="0"/>
        <w:widowControl/>
        <w:suppressLineNumbers w:val="0"/>
        <w:spacing w:before="0" w:beforeAutospacing="0" w:after="240" w:afterAutospacing="0"/>
        <w:ind w:left="0" w:right="0"/>
        <w:jc w:val="center"/>
        <w:rPr>
          <w:rFonts w:hint="eastAsia" w:ascii="方正小标宋简体" w:hAnsi="方正小标宋简体" w:eastAsia="方正小标宋简体" w:cs="方正小标宋简体"/>
          <w:kern w:val="0"/>
          <w:sz w:val="44"/>
          <w:szCs w:val="44"/>
          <w:lang w:val="en-GB" w:eastAsia="zh-CN" w:bidi="ar"/>
        </w:rPr>
      </w:pPr>
      <w:r>
        <w:rPr>
          <w:rFonts w:hint="eastAsia" w:ascii="方正小标宋简体" w:hAnsi="方正小标宋简体" w:eastAsia="方正小标宋简体" w:cs="方正小标宋简体"/>
          <w:kern w:val="0"/>
          <w:sz w:val="44"/>
          <w:szCs w:val="44"/>
          <w:lang w:val="en-GB" w:eastAsia="zh-CN" w:bidi="ar"/>
        </w:rPr>
        <w:t>经营者集中简易案件公示表</w:t>
      </w:r>
    </w:p>
    <w:tbl>
      <w:tblPr>
        <w:tblStyle w:val="3"/>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52C74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1940" w:type="dxa"/>
            <w:shd w:val="clear" w:color="auto" w:fill="D9D9D9"/>
            <w:vAlign w:val="center"/>
          </w:tcPr>
          <w:p w14:paraId="3B0B6662">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14:paraId="49D562EE">
            <w:pPr>
              <w:widowControl/>
              <w:adjustRightInd w:val="0"/>
              <w:snapToGrid w:val="0"/>
              <w:rPr>
                <w:rFonts w:hint="default" w:ascii="Times New Roman" w:hAnsi="Times New Roman" w:cs="Times New Roman"/>
                <w:bCs/>
                <w:color w:val="000000"/>
                <w:sz w:val="24"/>
              </w:rPr>
            </w:pPr>
            <w:bookmarkStart w:id="0" w:name="_GoBack"/>
            <w:r>
              <w:rPr>
                <w:rFonts w:hint="default" w:ascii="Times New Roman" w:hAnsi="Times New Roman" w:cs="Times New Roman"/>
                <w:sz w:val="24"/>
              </w:rPr>
              <w:t>韶关市金财投资集团有限公司收购广东韶能集团股份有限公司股权案</w:t>
            </w:r>
            <w:bookmarkEnd w:id="0"/>
          </w:p>
        </w:tc>
      </w:tr>
      <w:tr w14:paraId="3730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jc w:val="center"/>
        </w:trPr>
        <w:tc>
          <w:tcPr>
            <w:tcW w:w="1940" w:type="dxa"/>
            <w:shd w:val="clear" w:color="auto" w:fill="D9D9D9"/>
            <w:vAlign w:val="center"/>
          </w:tcPr>
          <w:p w14:paraId="7B20E239">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14:paraId="011236AB">
            <w:pPr>
              <w:widowControl/>
              <w:adjustRightInd w:val="0"/>
              <w:snapToGrid w:val="0"/>
              <w:rPr>
                <w:rFonts w:hint="default" w:ascii="Times New Roman" w:hAnsi="Times New Roman" w:cs="Times New Roman"/>
                <w:sz w:val="24"/>
              </w:rPr>
            </w:pPr>
            <w:r>
              <w:rPr>
                <w:rFonts w:hint="default" w:ascii="Times New Roman" w:hAnsi="Times New Roman" w:cs="Times New Roman"/>
                <w:sz w:val="24"/>
              </w:rPr>
              <w:t>韶关市金财投资集团有限公司（“金财投资”）与广东韶能集团股份有限公司（“韶能股份”）签署协议，按照韶能股份本次发行股份数量上限测算，金财投资拟认购韶能股份定向增发的8.55%的股份，并与原股东韶关市工业资产经营有限公司签署一致行动人协议。韶能股份主要从事电力、生态植物纤维制品等业务。交易前，韶能股份无最终控制人。交易后，金财投资及其一致行动人合计持有韶能股份21.75%的股份，单独控制韶能股份。</w:t>
            </w:r>
          </w:p>
        </w:tc>
      </w:tr>
      <w:tr w14:paraId="00CF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restart"/>
            <w:shd w:val="clear" w:color="auto" w:fill="D9D9D9"/>
            <w:vAlign w:val="center"/>
          </w:tcPr>
          <w:p w14:paraId="052710CD">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参与集中的经营者简介（每个限100字内）</w:t>
            </w:r>
          </w:p>
        </w:tc>
        <w:tc>
          <w:tcPr>
            <w:tcW w:w="1476" w:type="dxa"/>
            <w:vAlign w:val="center"/>
          </w:tcPr>
          <w:p w14:paraId="6CAFD1FE">
            <w:pPr>
              <w:pStyle w:val="2"/>
              <w:widowControl/>
              <w:adjustRightInd w:val="0"/>
              <w:snapToGrid w:val="0"/>
              <w:spacing w:after="0"/>
              <w:rPr>
                <w:rFonts w:hint="default" w:ascii="Times New Roman" w:hAnsi="Times New Roman" w:eastAsia="宋体" w:cs="Times New Roman"/>
                <w:bCs/>
                <w:color w:val="000000"/>
                <w:sz w:val="24"/>
                <w:lang w:val="en-US" w:eastAsia="zh-CN"/>
              </w:rPr>
            </w:pPr>
            <w:r>
              <w:rPr>
                <w:rFonts w:hint="default" w:ascii="Times New Roman" w:hAnsi="Times New Roman" w:cs="Times New Roman"/>
                <w:bCs/>
                <w:color w:val="000000"/>
                <w:sz w:val="24"/>
                <w:lang w:val="en-US" w:eastAsia="zh-CN"/>
              </w:rPr>
              <w:t>1</w:t>
            </w:r>
            <w:r>
              <w:rPr>
                <w:rFonts w:hint="default" w:ascii="Times New Roman" w:hAnsi="Times New Roman" w:cs="Times New Roman"/>
                <w:bCs/>
                <w:color w:val="000000"/>
                <w:sz w:val="24"/>
              </w:rPr>
              <w:t>.</w:t>
            </w:r>
            <w:r>
              <w:rPr>
                <w:rFonts w:hint="eastAsia" w:cs="Times New Roman"/>
                <w:bCs/>
                <w:color w:val="000000"/>
                <w:sz w:val="24"/>
                <w:lang w:val="en-US" w:eastAsia="zh-CN"/>
              </w:rPr>
              <w:t>金财投资</w:t>
            </w:r>
          </w:p>
        </w:tc>
        <w:tc>
          <w:tcPr>
            <w:tcW w:w="6224" w:type="dxa"/>
            <w:vAlign w:val="center"/>
          </w:tcPr>
          <w:p w14:paraId="3BE54647">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金财投资于2015年12月18日成立于广东省韶关市，主要业务为物业管理、燃气生产和供应及农产品仓储等。</w:t>
            </w:r>
          </w:p>
          <w:p w14:paraId="7B61B370">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sz w:val="24"/>
              </w:rPr>
              <w:t>金财投资最终控制人为韶关市产业投资控股集团有限公司，主要业务为工程建设、存储及半导体制造、物业租赁与管理及城市资产资源运营等。</w:t>
            </w:r>
          </w:p>
        </w:tc>
      </w:tr>
      <w:tr w14:paraId="0FBD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940" w:type="dxa"/>
            <w:vMerge w:val="continue"/>
            <w:shd w:val="clear" w:color="auto" w:fill="D9D9D9"/>
            <w:vAlign w:val="center"/>
          </w:tcPr>
          <w:p w14:paraId="1768E655">
            <w:pPr>
              <w:pStyle w:val="2"/>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3BEA0CBD">
            <w:pPr>
              <w:pStyle w:val="2"/>
              <w:widowControl/>
              <w:adjustRightInd w:val="0"/>
              <w:snapToGrid w:val="0"/>
              <w:spacing w:after="0"/>
              <w:rPr>
                <w:rFonts w:hint="default" w:ascii="Times New Roman" w:hAnsi="Times New Roman" w:cs="Times New Roman"/>
                <w:bCs/>
                <w:color w:val="000000"/>
                <w:sz w:val="24"/>
                <w:lang w:val="en-US" w:eastAsia="zh-CN"/>
              </w:rPr>
            </w:pPr>
            <w:r>
              <w:rPr>
                <w:rFonts w:hint="default" w:ascii="Times New Roman" w:hAnsi="Times New Roman" w:cs="Times New Roman"/>
                <w:bCs/>
                <w:color w:val="000000"/>
                <w:sz w:val="24"/>
                <w:lang w:val="en-US" w:eastAsia="zh-CN"/>
              </w:rPr>
              <w:t>2.</w:t>
            </w:r>
            <w:r>
              <w:rPr>
                <w:rFonts w:hint="eastAsia" w:cs="Times New Roman"/>
                <w:bCs/>
                <w:color w:val="000000"/>
                <w:sz w:val="24"/>
                <w:lang w:val="en-US" w:eastAsia="zh-CN"/>
              </w:rPr>
              <w:t>韶能股份</w:t>
            </w:r>
          </w:p>
        </w:tc>
        <w:tc>
          <w:tcPr>
            <w:tcW w:w="6224" w:type="dxa"/>
            <w:vAlign w:val="center"/>
          </w:tcPr>
          <w:p w14:paraId="1A5013CE">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韶能股份于1993年6月14日成立于广东省韶关市，为深圳证券交易所上市公司，主要业务为电力、生态植物纤维制品等。</w:t>
            </w:r>
          </w:p>
          <w:p w14:paraId="4970BAB9">
            <w:pPr>
              <w:pStyle w:val="2"/>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韶能股份无最终控制人。</w:t>
            </w:r>
          </w:p>
        </w:tc>
      </w:tr>
      <w:tr w14:paraId="06A26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940" w:type="dxa"/>
            <w:vMerge w:val="restart"/>
            <w:shd w:val="clear" w:color="auto" w:fill="D9D9D9"/>
            <w:vAlign w:val="center"/>
          </w:tcPr>
          <w:p w14:paraId="6C3B48D0">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14:paraId="4690618E">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1、在同一相关市场，所有参与集中的经营者所占市场份额之和小于15%。</w:t>
            </w:r>
          </w:p>
        </w:tc>
      </w:tr>
      <w:tr w14:paraId="079C7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940" w:type="dxa"/>
            <w:vMerge w:val="continue"/>
            <w:shd w:val="clear" w:color="auto" w:fill="D9D9D9"/>
            <w:vAlign w:val="center"/>
          </w:tcPr>
          <w:p w14:paraId="16F6DABF">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1C737439">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2、存在上下游关系的参与集中的经营者，在上下游市场所占的市场份额均小于25%。</w:t>
            </w:r>
          </w:p>
        </w:tc>
      </w:tr>
      <w:tr w14:paraId="558FD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940" w:type="dxa"/>
            <w:vMerge w:val="continue"/>
            <w:shd w:val="clear" w:color="auto" w:fill="D9D9D9"/>
            <w:vAlign w:val="center"/>
          </w:tcPr>
          <w:p w14:paraId="2D2098FE">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0CA7E38">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3、不在同一相关市场、也不存在上下游关系的参与集中的经营者，在与交易有关的每个市场所占的份额均小于25%。</w:t>
            </w:r>
          </w:p>
        </w:tc>
      </w:tr>
      <w:tr w14:paraId="28D3F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jc w:val="center"/>
        </w:trPr>
        <w:tc>
          <w:tcPr>
            <w:tcW w:w="1940" w:type="dxa"/>
            <w:vMerge w:val="continue"/>
            <w:shd w:val="clear" w:color="auto" w:fill="D9D9D9"/>
            <w:vAlign w:val="center"/>
          </w:tcPr>
          <w:p w14:paraId="26CF4CA6">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5135DFA0">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14:paraId="3DEE8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1940" w:type="dxa"/>
            <w:vMerge w:val="continue"/>
            <w:shd w:val="clear" w:color="auto" w:fill="D9D9D9"/>
            <w:vAlign w:val="center"/>
          </w:tcPr>
          <w:p w14:paraId="0E05F664">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55463CCB">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14:paraId="5F8B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940" w:type="dxa"/>
            <w:vMerge w:val="continue"/>
            <w:shd w:val="clear" w:color="auto" w:fill="D9D9D9"/>
            <w:vAlign w:val="center"/>
          </w:tcPr>
          <w:p w14:paraId="50F21124">
            <w:pPr>
              <w:pStyle w:val="2"/>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671A4FA9">
            <w:pPr>
              <w:pStyle w:val="2"/>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14:paraId="5C3D6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940" w:type="dxa"/>
            <w:shd w:val="clear" w:color="auto" w:fill="D9D9D9"/>
            <w:vAlign w:val="center"/>
          </w:tcPr>
          <w:p w14:paraId="5F1B8220">
            <w:pPr>
              <w:pStyle w:val="2"/>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14:paraId="025BC1D5">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bCs w:val="0"/>
                <w:color w:val="000000"/>
                <w:kern w:val="0"/>
                <w:sz w:val="24"/>
                <w:szCs w:val="24"/>
                <w:lang w:val="en-GB" w:eastAsia="zh-CN" w:bidi="ar-AE"/>
              </w:rPr>
            </w:pPr>
            <w:r>
              <w:rPr>
                <w:rFonts w:hint="eastAsia" w:ascii="宋体" w:hAnsi="宋体" w:eastAsia="宋体" w:cs="宋体"/>
                <w:b/>
                <w:bCs w:val="0"/>
                <w:color w:val="000000"/>
                <w:kern w:val="0"/>
                <w:sz w:val="24"/>
                <w:szCs w:val="24"/>
                <w:lang w:val="en-US" w:eastAsia="zh-CN" w:bidi="ar-AE"/>
              </w:rPr>
              <w:t>混合集中</w:t>
            </w:r>
            <w:r>
              <w:rPr>
                <w:rFonts w:hint="eastAsia" w:ascii="宋体" w:hAnsi="宋体" w:eastAsia="宋体" w:cs="宋体"/>
                <w:b/>
                <w:bCs w:val="0"/>
                <w:color w:val="000000"/>
                <w:kern w:val="0"/>
                <w:sz w:val="24"/>
                <w:szCs w:val="24"/>
                <w:lang w:val="en-GB" w:eastAsia="zh-CN" w:bidi="ar-AE"/>
              </w:rPr>
              <w:t>：</w:t>
            </w:r>
          </w:p>
          <w:tbl>
            <w:tblPr>
              <w:tblStyle w:val="4"/>
              <w:tblW w:w="74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4"/>
              <w:gridCol w:w="2495"/>
              <w:gridCol w:w="2495"/>
            </w:tblGrid>
            <w:tr w14:paraId="1B0D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noWrap w:val="0"/>
                  <w:vAlign w:val="top"/>
                </w:tcPr>
                <w:p w14:paraId="3A329BEC">
                  <w:pPr>
                    <w:pStyle w:val="2"/>
                    <w:keepNext w:val="0"/>
                    <w:keepLines w:val="0"/>
                    <w:suppressLineNumbers w:val="0"/>
                    <w:adjustRightInd w:val="0"/>
                    <w:snapToGrid w:val="0"/>
                    <w:spacing w:before="0" w:beforeAutospacing="0" w:after="0" w:afterAutospacing="0" w:line="240" w:lineRule="auto"/>
                    <w:ind w:left="0" w:leftChars="0" w:right="0" w:rightChars="0"/>
                    <w:jc w:val="center"/>
                    <w:rPr>
                      <w:rFonts w:hint="eastAsia" w:ascii="Times New Roman" w:hAnsi="Times New Roman" w:eastAsia="宋体" w:cs="Times New Roman"/>
                      <w:b/>
                      <w:bCs/>
                      <w:kern w:val="2"/>
                      <w:sz w:val="24"/>
                      <w:szCs w:val="24"/>
                      <w:lang w:val="en-US" w:eastAsia="zh-CN" w:bidi="ar"/>
                    </w:rPr>
                  </w:pPr>
                  <w:r>
                    <w:rPr>
                      <w:rFonts w:hint="default" w:cs="Times New Roman"/>
                      <w:b/>
                      <w:bCs/>
                      <w:sz w:val="24"/>
                      <w:lang w:val="en-US" w:eastAsia="zh-CN" w:bidi="ar"/>
                    </w:rPr>
                    <w:t>相关商品市场</w:t>
                  </w:r>
                </w:p>
              </w:tc>
              <w:tc>
                <w:tcPr>
                  <w:tcW w:w="2495" w:type="dxa"/>
                  <w:noWrap w:val="0"/>
                  <w:vAlign w:val="top"/>
                </w:tcPr>
                <w:p w14:paraId="6A592341">
                  <w:pPr>
                    <w:pStyle w:val="2"/>
                    <w:keepNext w:val="0"/>
                    <w:keepLines w:val="0"/>
                    <w:suppressLineNumbers w:val="0"/>
                    <w:adjustRightInd w:val="0"/>
                    <w:snapToGrid w:val="0"/>
                    <w:spacing w:before="0" w:beforeAutospacing="0" w:after="0" w:afterAutospacing="0" w:line="240" w:lineRule="auto"/>
                    <w:ind w:left="0" w:leftChars="0" w:right="0" w:rightChars="0"/>
                    <w:jc w:val="center"/>
                    <w:rPr>
                      <w:rFonts w:hint="eastAsia" w:ascii="Times New Roman" w:hAnsi="Times New Roman" w:eastAsia="宋体" w:cs="Times New Roman"/>
                      <w:b/>
                      <w:bCs/>
                      <w:kern w:val="2"/>
                      <w:sz w:val="24"/>
                      <w:szCs w:val="24"/>
                      <w:lang w:val="en-US" w:eastAsia="zh-CN" w:bidi="ar"/>
                    </w:rPr>
                  </w:pPr>
                  <w:r>
                    <w:rPr>
                      <w:rFonts w:hint="default" w:cs="Times New Roman"/>
                      <w:b/>
                      <w:bCs/>
                      <w:sz w:val="24"/>
                      <w:lang w:val="en-US" w:eastAsia="zh-CN" w:bidi="ar"/>
                    </w:rPr>
                    <w:t>相关地域市场</w:t>
                  </w:r>
                </w:p>
              </w:tc>
              <w:tc>
                <w:tcPr>
                  <w:tcW w:w="2495" w:type="dxa"/>
                  <w:noWrap w:val="0"/>
                  <w:vAlign w:val="top"/>
                </w:tcPr>
                <w:p w14:paraId="3D160EB8">
                  <w:pPr>
                    <w:pStyle w:val="2"/>
                    <w:keepNext w:val="0"/>
                    <w:keepLines w:val="0"/>
                    <w:suppressLineNumbers w:val="0"/>
                    <w:adjustRightInd w:val="0"/>
                    <w:snapToGrid w:val="0"/>
                    <w:spacing w:before="0" w:beforeAutospacing="0" w:after="0" w:afterAutospacing="0" w:line="240" w:lineRule="auto"/>
                    <w:ind w:left="0" w:leftChars="0" w:right="0" w:rightChars="0"/>
                    <w:jc w:val="center"/>
                    <w:rPr>
                      <w:rFonts w:hint="eastAsia" w:ascii="Times New Roman" w:hAnsi="Times New Roman" w:eastAsia="宋体" w:cs="Times New Roman"/>
                      <w:b/>
                      <w:bCs/>
                      <w:kern w:val="2"/>
                      <w:sz w:val="24"/>
                      <w:szCs w:val="24"/>
                      <w:lang w:val="en-US" w:eastAsia="zh-CN" w:bidi="ar"/>
                    </w:rPr>
                  </w:pPr>
                  <w:r>
                    <w:rPr>
                      <w:rFonts w:hint="default" w:cs="Times New Roman"/>
                      <w:b/>
                      <w:bCs/>
                      <w:sz w:val="24"/>
                      <w:lang w:val="en-US" w:eastAsia="zh-CN" w:bidi="ar"/>
                    </w:rPr>
                    <w:t>202</w:t>
                  </w:r>
                  <w:r>
                    <w:rPr>
                      <w:rFonts w:hint="eastAsia" w:cs="Times New Roman"/>
                      <w:b/>
                      <w:bCs/>
                      <w:sz w:val="24"/>
                      <w:lang w:val="en-US" w:eastAsia="zh-CN" w:bidi="ar"/>
                    </w:rPr>
                    <w:t>4</w:t>
                  </w:r>
                  <w:r>
                    <w:rPr>
                      <w:rFonts w:hint="default" w:cs="Times New Roman"/>
                      <w:b/>
                      <w:bCs/>
                      <w:sz w:val="24"/>
                      <w:lang w:val="en-US" w:eastAsia="zh-CN" w:bidi="ar"/>
                    </w:rPr>
                    <w:t>年市场份额</w:t>
                  </w:r>
                </w:p>
              </w:tc>
            </w:tr>
            <w:tr w14:paraId="1365A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noWrap w:val="0"/>
                  <w:vAlign w:val="top"/>
                </w:tcPr>
                <w:p w14:paraId="78AE50CE">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vertAlign w:val="baseline"/>
                      <w:lang w:val="en-US" w:eastAsia="zh-CN" w:bidi="ar-AE"/>
                    </w:rPr>
                  </w:pPr>
                  <w:r>
                    <w:rPr>
                      <w:rFonts w:hint="eastAsia" w:ascii="宋体" w:hAnsi="宋体" w:cs="宋体"/>
                      <w:b w:val="0"/>
                      <w:bCs/>
                      <w:color w:val="000000"/>
                      <w:kern w:val="0"/>
                      <w:sz w:val="24"/>
                      <w:szCs w:val="24"/>
                      <w:vertAlign w:val="baseline"/>
                      <w:lang w:val="en-US" w:eastAsia="zh-CN" w:bidi="ar-AE"/>
                    </w:rPr>
                    <w:t>电力生产和供应</w:t>
                  </w:r>
                </w:p>
              </w:tc>
              <w:tc>
                <w:tcPr>
                  <w:tcW w:w="2495" w:type="dxa"/>
                  <w:noWrap w:val="0"/>
                  <w:vAlign w:val="top"/>
                </w:tcPr>
                <w:p w14:paraId="04D871D1">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vertAlign w:val="baseline"/>
                      <w:lang w:val="en-US" w:eastAsia="zh-CN" w:bidi="ar-AE"/>
                    </w:rPr>
                  </w:pPr>
                  <w:r>
                    <w:rPr>
                      <w:rFonts w:hint="eastAsia" w:ascii="宋体" w:hAnsi="宋体" w:cs="宋体"/>
                      <w:b w:val="0"/>
                      <w:bCs/>
                      <w:color w:val="000000"/>
                      <w:kern w:val="0"/>
                      <w:sz w:val="24"/>
                      <w:szCs w:val="24"/>
                      <w:vertAlign w:val="baseline"/>
                      <w:lang w:val="en-US" w:eastAsia="zh-CN" w:bidi="ar-AE"/>
                    </w:rPr>
                    <w:t>中国境内</w:t>
                  </w:r>
                </w:p>
              </w:tc>
              <w:tc>
                <w:tcPr>
                  <w:tcW w:w="2495" w:type="dxa"/>
                  <w:noWrap w:val="0"/>
                  <w:vAlign w:val="top"/>
                </w:tcPr>
                <w:p w14:paraId="13A236BE">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vertAlign w:val="baseline"/>
                      <w:lang w:val="en-US" w:eastAsia="zh-CN" w:bidi="ar-AE"/>
                    </w:rPr>
                  </w:pPr>
                  <w:r>
                    <w:rPr>
                      <w:rFonts w:hint="default" w:ascii="Times New Roman" w:hAnsi="Times New Roman" w:cs="Times New Roman"/>
                      <w:b w:val="0"/>
                      <w:bCs/>
                      <w:color w:val="000000"/>
                      <w:kern w:val="0"/>
                      <w:sz w:val="24"/>
                      <w:szCs w:val="24"/>
                      <w:vertAlign w:val="baseline"/>
                      <w:lang w:val="en-US" w:eastAsia="zh-CN" w:bidi="ar-AE"/>
                    </w:rPr>
                    <w:t>韶能股份：0-5%</w:t>
                  </w:r>
                </w:p>
              </w:tc>
            </w:tr>
            <w:tr w14:paraId="0B4EE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Merge w:val="restart"/>
                  <w:noWrap w:val="0"/>
                  <w:vAlign w:val="top"/>
                </w:tcPr>
                <w:p w14:paraId="788C6A92">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vertAlign w:val="baseline"/>
                      <w:lang w:val="en-US" w:eastAsia="zh-CN" w:bidi="ar-AE"/>
                    </w:rPr>
                  </w:pPr>
                  <w:r>
                    <w:rPr>
                      <w:rFonts w:hint="eastAsia" w:ascii="宋体" w:hAnsi="宋体" w:cs="宋体"/>
                      <w:b w:val="0"/>
                      <w:bCs/>
                      <w:color w:val="000000"/>
                      <w:kern w:val="0"/>
                      <w:sz w:val="24"/>
                      <w:szCs w:val="24"/>
                      <w:vertAlign w:val="baseline"/>
                      <w:lang w:val="en-US" w:eastAsia="zh-CN" w:bidi="ar-AE"/>
                    </w:rPr>
                    <w:t>纸浆模塑一次性餐具</w:t>
                  </w:r>
                </w:p>
              </w:tc>
              <w:tc>
                <w:tcPr>
                  <w:tcW w:w="2495" w:type="dxa"/>
                  <w:noWrap w:val="0"/>
                  <w:vAlign w:val="top"/>
                </w:tcPr>
                <w:p w14:paraId="026ECD54">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vertAlign w:val="baseline"/>
                      <w:lang w:val="en-US" w:eastAsia="zh-CN" w:bidi="ar-AE"/>
                    </w:rPr>
                  </w:pPr>
                  <w:r>
                    <w:rPr>
                      <w:rFonts w:hint="eastAsia" w:ascii="宋体" w:hAnsi="宋体" w:cs="宋体"/>
                      <w:b w:val="0"/>
                      <w:bCs/>
                      <w:color w:val="000000"/>
                      <w:kern w:val="0"/>
                      <w:sz w:val="24"/>
                      <w:szCs w:val="24"/>
                      <w:vertAlign w:val="baseline"/>
                      <w:lang w:val="en-US" w:eastAsia="zh-CN" w:bidi="ar-AE"/>
                    </w:rPr>
                    <w:t>全球</w:t>
                  </w:r>
                </w:p>
              </w:tc>
              <w:tc>
                <w:tcPr>
                  <w:tcW w:w="2495" w:type="dxa"/>
                  <w:noWrap w:val="0"/>
                  <w:vAlign w:val="top"/>
                </w:tcPr>
                <w:p w14:paraId="485BFFA1">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vertAlign w:val="baseline"/>
                      <w:lang w:val="en-US" w:eastAsia="zh-CN" w:bidi="ar-AE"/>
                    </w:rPr>
                  </w:pPr>
                  <w:r>
                    <w:rPr>
                      <w:rFonts w:hint="default" w:ascii="Times New Roman" w:hAnsi="Times New Roman" w:cs="Times New Roman"/>
                      <w:b w:val="0"/>
                      <w:bCs/>
                      <w:color w:val="000000"/>
                      <w:kern w:val="0"/>
                      <w:sz w:val="24"/>
                      <w:szCs w:val="24"/>
                      <w:vertAlign w:val="baseline"/>
                      <w:lang w:val="en-US" w:eastAsia="zh-CN" w:bidi="ar-AE"/>
                    </w:rPr>
                    <w:t>韶能股份：5-10%</w:t>
                  </w:r>
                </w:p>
              </w:tc>
            </w:tr>
            <w:tr w14:paraId="3F5B7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Merge w:val="continue"/>
                  <w:noWrap w:val="0"/>
                  <w:vAlign w:val="top"/>
                </w:tcPr>
                <w:p w14:paraId="5EEE5B4D">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vertAlign w:val="baseline"/>
                      <w:lang w:val="en-US" w:eastAsia="zh-CN" w:bidi="ar-AE"/>
                    </w:rPr>
                  </w:pPr>
                </w:p>
              </w:tc>
              <w:tc>
                <w:tcPr>
                  <w:tcW w:w="2495" w:type="dxa"/>
                  <w:noWrap w:val="0"/>
                  <w:vAlign w:val="top"/>
                </w:tcPr>
                <w:p w14:paraId="49FB92C5">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vertAlign w:val="baseline"/>
                      <w:lang w:val="en-US" w:eastAsia="zh-CN" w:bidi="ar-AE"/>
                    </w:rPr>
                  </w:pPr>
                  <w:r>
                    <w:rPr>
                      <w:rFonts w:hint="eastAsia" w:ascii="宋体" w:hAnsi="宋体" w:cs="宋体"/>
                      <w:b w:val="0"/>
                      <w:bCs/>
                      <w:color w:val="000000"/>
                      <w:kern w:val="0"/>
                      <w:sz w:val="24"/>
                      <w:szCs w:val="24"/>
                      <w:vertAlign w:val="baseline"/>
                      <w:lang w:val="en-US" w:eastAsia="zh-CN" w:bidi="ar-AE"/>
                    </w:rPr>
                    <w:t>中国境内</w:t>
                  </w:r>
                </w:p>
              </w:tc>
              <w:tc>
                <w:tcPr>
                  <w:tcW w:w="2495" w:type="dxa"/>
                  <w:noWrap w:val="0"/>
                  <w:vAlign w:val="top"/>
                </w:tcPr>
                <w:p w14:paraId="35935A0F">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vertAlign w:val="baseline"/>
                      <w:lang w:val="en-US" w:eastAsia="zh-CN" w:bidi="ar-AE"/>
                    </w:rPr>
                  </w:pPr>
                  <w:r>
                    <w:rPr>
                      <w:rFonts w:hint="default" w:ascii="Times New Roman" w:hAnsi="Times New Roman" w:cs="Times New Roman"/>
                      <w:b w:val="0"/>
                      <w:bCs/>
                      <w:color w:val="000000"/>
                      <w:kern w:val="0"/>
                      <w:sz w:val="24"/>
                      <w:szCs w:val="24"/>
                      <w:vertAlign w:val="baseline"/>
                      <w:lang w:val="en-US" w:eastAsia="zh-CN" w:bidi="ar-AE"/>
                    </w:rPr>
                    <w:t>韶能股份：</w:t>
                  </w:r>
                  <w:r>
                    <w:rPr>
                      <w:rFonts w:hint="eastAsia" w:ascii="Times New Roman" w:hAnsi="Times New Roman" w:cs="Times New Roman"/>
                      <w:b w:val="0"/>
                      <w:bCs/>
                      <w:color w:val="000000"/>
                      <w:kern w:val="0"/>
                      <w:sz w:val="24"/>
                      <w:szCs w:val="24"/>
                      <w:vertAlign w:val="baseline"/>
                      <w:lang w:val="en-US" w:eastAsia="zh-CN" w:bidi="ar-AE"/>
                    </w:rPr>
                    <w:t>0-5%</w:t>
                  </w:r>
                </w:p>
              </w:tc>
            </w:tr>
            <w:tr w14:paraId="3814B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Merge w:val="restart"/>
                  <w:noWrap w:val="0"/>
                  <w:vAlign w:val="top"/>
                </w:tcPr>
                <w:p w14:paraId="2FC4B5BF">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vertAlign w:val="baseline"/>
                      <w:lang w:val="en-US" w:eastAsia="zh-CN" w:bidi="ar-AE"/>
                    </w:rPr>
                  </w:pPr>
                  <w:r>
                    <w:rPr>
                      <w:rFonts w:hint="eastAsia" w:ascii="宋体" w:hAnsi="宋体" w:cs="宋体"/>
                      <w:b w:val="0"/>
                      <w:bCs/>
                      <w:color w:val="000000"/>
                      <w:kern w:val="0"/>
                      <w:sz w:val="24"/>
                      <w:szCs w:val="24"/>
                      <w:vertAlign w:val="baseline"/>
                      <w:lang w:val="en-US" w:eastAsia="zh-CN" w:bidi="ar-AE"/>
                    </w:rPr>
                    <w:t>生活用纸原纸</w:t>
                  </w:r>
                </w:p>
              </w:tc>
              <w:tc>
                <w:tcPr>
                  <w:tcW w:w="2495" w:type="dxa"/>
                  <w:noWrap w:val="0"/>
                  <w:vAlign w:val="top"/>
                </w:tcPr>
                <w:p w14:paraId="53720157">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vertAlign w:val="baseline"/>
                      <w:lang w:val="en-US" w:eastAsia="zh-CN" w:bidi="ar-AE"/>
                    </w:rPr>
                  </w:pPr>
                  <w:r>
                    <w:rPr>
                      <w:rFonts w:hint="eastAsia" w:ascii="宋体" w:hAnsi="宋体" w:cs="宋体"/>
                      <w:b w:val="0"/>
                      <w:bCs/>
                      <w:color w:val="000000"/>
                      <w:kern w:val="0"/>
                      <w:sz w:val="24"/>
                      <w:szCs w:val="24"/>
                      <w:vertAlign w:val="baseline"/>
                      <w:lang w:val="en-US" w:eastAsia="zh-CN" w:bidi="ar-AE"/>
                    </w:rPr>
                    <w:t>湖南省</w:t>
                  </w:r>
                </w:p>
              </w:tc>
              <w:tc>
                <w:tcPr>
                  <w:tcW w:w="2495" w:type="dxa"/>
                  <w:noWrap w:val="0"/>
                  <w:vAlign w:val="top"/>
                </w:tcPr>
                <w:p w14:paraId="3B949CD3">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vertAlign w:val="baseline"/>
                      <w:lang w:val="en-US" w:eastAsia="zh-CN" w:bidi="ar-AE"/>
                    </w:rPr>
                  </w:pPr>
                  <w:r>
                    <w:rPr>
                      <w:rFonts w:hint="default" w:ascii="Times New Roman" w:hAnsi="Times New Roman" w:cs="Times New Roman"/>
                      <w:b w:val="0"/>
                      <w:bCs/>
                      <w:color w:val="000000"/>
                      <w:kern w:val="0"/>
                      <w:sz w:val="24"/>
                      <w:szCs w:val="24"/>
                      <w:vertAlign w:val="baseline"/>
                      <w:lang w:val="en-US" w:eastAsia="zh-CN" w:bidi="ar-AE"/>
                    </w:rPr>
                    <w:t>韶能股份：20-25%</w:t>
                  </w:r>
                </w:p>
              </w:tc>
            </w:tr>
            <w:tr w14:paraId="326B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94" w:type="dxa"/>
                  <w:vMerge w:val="continue"/>
                  <w:noWrap w:val="0"/>
                  <w:vAlign w:val="top"/>
                </w:tcPr>
                <w:p w14:paraId="1DDFEE87">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vertAlign w:val="baseline"/>
                      <w:lang w:val="en-US" w:eastAsia="zh-CN" w:bidi="ar-AE"/>
                    </w:rPr>
                  </w:pPr>
                </w:p>
              </w:tc>
              <w:tc>
                <w:tcPr>
                  <w:tcW w:w="2495" w:type="dxa"/>
                  <w:noWrap w:val="0"/>
                  <w:vAlign w:val="top"/>
                </w:tcPr>
                <w:p w14:paraId="65455E55">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eastAsia="宋体" w:cs="宋体"/>
                      <w:b w:val="0"/>
                      <w:bCs/>
                      <w:color w:val="000000"/>
                      <w:kern w:val="0"/>
                      <w:sz w:val="24"/>
                      <w:szCs w:val="24"/>
                      <w:vertAlign w:val="baseline"/>
                      <w:lang w:val="en-US" w:eastAsia="zh-CN" w:bidi="ar-AE"/>
                    </w:rPr>
                  </w:pPr>
                  <w:r>
                    <w:rPr>
                      <w:rFonts w:hint="eastAsia" w:ascii="宋体" w:hAnsi="宋体" w:cs="宋体"/>
                      <w:b w:val="0"/>
                      <w:bCs/>
                      <w:color w:val="000000"/>
                      <w:kern w:val="0"/>
                      <w:sz w:val="24"/>
                      <w:szCs w:val="24"/>
                      <w:vertAlign w:val="baseline"/>
                      <w:lang w:val="en-US" w:eastAsia="zh-CN" w:bidi="ar-AE"/>
                    </w:rPr>
                    <w:t>广东省</w:t>
                  </w:r>
                </w:p>
              </w:tc>
              <w:tc>
                <w:tcPr>
                  <w:tcW w:w="2495" w:type="dxa"/>
                  <w:noWrap w:val="0"/>
                  <w:vAlign w:val="top"/>
                </w:tcPr>
                <w:p w14:paraId="4D3EE106">
                  <w:pPr>
                    <w:pStyle w:val="2"/>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default" w:ascii="Times New Roman" w:hAnsi="Times New Roman" w:eastAsia="宋体" w:cs="Times New Roman"/>
                      <w:b w:val="0"/>
                      <w:bCs/>
                      <w:color w:val="000000"/>
                      <w:kern w:val="0"/>
                      <w:sz w:val="24"/>
                      <w:szCs w:val="24"/>
                      <w:vertAlign w:val="baseline"/>
                      <w:lang w:val="en-US" w:eastAsia="zh-CN" w:bidi="ar-AE"/>
                    </w:rPr>
                  </w:pPr>
                  <w:r>
                    <w:rPr>
                      <w:rFonts w:hint="default" w:ascii="Times New Roman" w:hAnsi="Times New Roman" w:cs="Times New Roman"/>
                      <w:b w:val="0"/>
                      <w:bCs/>
                      <w:color w:val="000000"/>
                      <w:kern w:val="0"/>
                      <w:sz w:val="24"/>
                      <w:szCs w:val="24"/>
                      <w:vertAlign w:val="baseline"/>
                      <w:lang w:val="en-US" w:eastAsia="zh-CN" w:bidi="ar-AE"/>
                    </w:rPr>
                    <w:t>韶能股份：0-5%</w:t>
                  </w:r>
                </w:p>
              </w:tc>
            </w:tr>
          </w:tbl>
          <w:p w14:paraId="353B371B">
            <w:pPr>
              <w:pStyle w:val="2"/>
              <w:adjustRightInd w:val="0"/>
              <w:snapToGrid w:val="0"/>
              <w:spacing w:after="0"/>
              <w:rPr>
                <w:rFonts w:hint="default" w:ascii="Times New Roman" w:hAnsi="Times New Roman" w:eastAsia="宋体" w:cs="Times New Roman"/>
                <w:b/>
                <w:color w:val="000000" w:themeColor="text1"/>
                <w:kern w:val="0"/>
                <w:sz w:val="24"/>
                <w:szCs w:val="24"/>
                <w:lang w:val="en-US" w:eastAsia="zh-CN" w:bidi="ar-SA"/>
                <w14:textFill>
                  <w14:solidFill>
                    <w14:schemeClr w14:val="tx1"/>
                  </w14:solidFill>
                </w14:textFill>
              </w:rPr>
            </w:pPr>
          </w:p>
        </w:tc>
      </w:tr>
    </w:tbl>
    <w:p w14:paraId="1650982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7A4F9F"/>
    <w:rsid w:val="2E7A4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 w:type="table" w:styleId="4">
    <w:name w:val="Table Grid"/>
    <w:basedOn w:val="3"/>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省市场监督管理局</Company>
  <Pages>1</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2025-09-16T08:15:00Z</dcterms:created>
  <dc:creator>胡翌婧</dc:creator>
  <cp:lastModifiedBy>胡翌婧</cp:lastModifiedBy>
  <dcterms:modified xsi:type="dcterms:W3CDTF">2025-09-16T08:16:04Z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72651B87D834442CAB506C1A9035E51C_11</vt:lpwstr>
  </property>
  <property fmtid="{D5CDD505-2E9C-101B-9397-08002B2CF9AE}" pid="4" name="KSOTemplateDocerSaveRecord">
    <vt:lpwstr>eyJoZGlkIjoiODNjM2VkZWUwYjdkZDYzZGY2NmZiZGNiZGIyMjFjYWIiLCJ1c2VySWQiOiIyNDQ2MzYxMzgifQ==</vt:lpwstr>
  </property>
</Properties>
</file>